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1C535" w14:textId="044B8E40" w:rsidR="00857CCF" w:rsidRPr="00C044C1" w:rsidRDefault="009A35BE" w:rsidP="00756976">
      <w:pPr>
        <w:jc w:val="both"/>
        <w:rPr>
          <w:b/>
        </w:rPr>
      </w:pPr>
      <w:r>
        <w:rPr>
          <w:b/>
        </w:rPr>
        <w:t>Wounded</w:t>
      </w:r>
      <w:r w:rsidR="00C57776">
        <w:rPr>
          <w:b/>
        </w:rPr>
        <w:t xml:space="preserve"> C</w:t>
      </w:r>
      <w:bookmarkStart w:id="0" w:name="_GoBack"/>
      <w:bookmarkEnd w:id="0"/>
      <w:r w:rsidR="00BC3038" w:rsidRPr="00C044C1">
        <w:rPr>
          <w:b/>
        </w:rPr>
        <w:t>itizenship</w:t>
      </w:r>
      <w:r w:rsidR="0009126C" w:rsidRPr="00C044C1">
        <w:rPr>
          <w:b/>
        </w:rPr>
        <w:t xml:space="preserve"> </w:t>
      </w:r>
    </w:p>
    <w:p w14:paraId="24729309" w14:textId="77777777" w:rsidR="00EC410F" w:rsidRPr="002F6F27" w:rsidRDefault="00EC410F" w:rsidP="00756976">
      <w:pPr>
        <w:jc w:val="both"/>
      </w:pPr>
    </w:p>
    <w:p w14:paraId="11573C8D" w14:textId="6220EEB5" w:rsidR="0009126C" w:rsidRPr="00B82EA5" w:rsidRDefault="00EC410F" w:rsidP="00756976">
      <w:pPr>
        <w:jc w:val="both"/>
        <w:rPr>
          <w:b/>
        </w:rPr>
      </w:pPr>
      <w:r w:rsidRPr="00B82EA5">
        <w:rPr>
          <w:b/>
        </w:rPr>
        <w:t>Omar Dewachi</w:t>
      </w:r>
    </w:p>
    <w:p w14:paraId="1EB35DC4" w14:textId="77777777" w:rsidR="00EC410F" w:rsidRDefault="00EC410F" w:rsidP="00756976">
      <w:pPr>
        <w:jc w:val="both"/>
      </w:pPr>
    </w:p>
    <w:p w14:paraId="22A9E96B" w14:textId="77777777" w:rsidR="00B82EA5" w:rsidRDefault="00B82EA5" w:rsidP="00756976">
      <w:pPr>
        <w:jc w:val="both"/>
      </w:pPr>
    </w:p>
    <w:p w14:paraId="5ED7D1B3" w14:textId="1894A87B" w:rsidR="005C0762" w:rsidRPr="002F6F27" w:rsidRDefault="005C0762" w:rsidP="00756976">
      <w:pPr>
        <w:jc w:val="both"/>
      </w:pPr>
      <w:r>
        <w:t xml:space="preserve">INTRODUCTION </w:t>
      </w:r>
    </w:p>
    <w:p w14:paraId="6E23AC6F" w14:textId="63BCE58E" w:rsidR="00EC410F" w:rsidRPr="002F6F27" w:rsidRDefault="00AD0027" w:rsidP="00756976">
      <w:pPr>
        <w:jc w:val="both"/>
      </w:pPr>
      <w:r>
        <w:t>R</w:t>
      </w:r>
      <w:r w:rsidR="000A1CDA" w:rsidRPr="002F6F27">
        <w:t xml:space="preserve">ecent </w:t>
      </w:r>
      <w:r w:rsidR="00C662EB" w:rsidRPr="002F6F27">
        <w:t xml:space="preserve">academic and civil society discourses </w:t>
      </w:r>
      <w:r w:rsidR="000A1CDA" w:rsidRPr="002F6F27">
        <w:t xml:space="preserve">have become increasingly </w:t>
      </w:r>
      <w:r w:rsidR="00C662EB" w:rsidRPr="002F6F27">
        <w:t xml:space="preserve">concerned with </w:t>
      </w:r>
      <w:r w:rsidR="00405958">
        <w:t>rethinking</w:t>
      </w:r>
      <w:r w:rsidR="0067624E" w:rsidRPr="002F6F27">
        <w:t xml:space="preserve"> a </w:t>
      </w:r>
      <w:r w:rsidR="000A1CDA" w:rsidRPr="002F6F27">
        <w:t>new relationship between the state and its subjects</w:t>
      </w:r>
      <w:r w:rsidR="00C0522E">
        <w:t xml:space="preserve">, </w:t>
      </w:r>
      <w:r w:rsidR="00CA1C33">
        <w:t xml:space="preserve">especially </w:t>
      </w:r>
      <w:r w:rsidR="00C0522E">
        <w:t>i</w:t>
      </w:r>
      <w:r w:rsidR="00C0522E" w:rsidRPr="002F6F27">
        <w:t xml:space="preserve">n the context of </w:t>
      </w:r>
      <w:r w:rsidR="00C0522E">
        <w:t>“</w:t>
      </w:r>
      <w:r w:rsidR="00C0522E" w:rsidRPr="002F6F27">
        <w:t>Arab uprisings” and “regime change”</w:t>
      </w:r>
      <w:r w:rsidR="004A0E9F">
        <w:t xml:space="preserve"> in the Middle East. </w:t>
      </w:r>
      <w:r w:rsidR="000B420A" w:rsidRPr="002F6F27">
        <w:t xml:space="preserve"> </w:t>
      </w:r>
      <w:r w:rsidR="00C0522E">
        <w:t xml:space="preserve">Such </w:t>
      </w:r>
      <w:r w:rsidR="00451C9B" w:rsidRPr="002F6F27">
        <w:t xml:space="preserve">efforts </w:t>
      </w:r>
      <w:r w:rsidR="0067624E" w:rsidRPr="002F6F27">
        <w:t xml:space="preserve">have called to </w:t>
      </w:r>
      <w:r w:rsidR="00C0522E">
        <w:t>re</w:t>
      </w:r>
      <w:r w:rsidR="00451C9B" w:rsidRPr="002F6F27">
        <w:t>imagine</w:t>
      </w:r>
      <w:r w:rsidR="003C0576" w:rsidRPr="002F6F27">
        <w:t xml:space="preserve"> </w:t>
      </w:r>
      <w:r w:rsidR="00451C9B" w:rsidRPr="002F6F27">
        <w:t>an alternate</w:t>
      </w:r>
      <w:r w:rsidR="003C0576" w:rsidRPr="002F6F27">
        <w:t xml:space="preserve"> body politic</w:t>
      </w:r>
      <w:r w:rsidR="004A7BBB">
        <w:t xml:space="preserve"> focusing on modes of citizenship that embrace</w:t>
      </w:r>
      <w:r w:rsidR="00EC410F" w:rsidRPr="002F6F27">
        <w:t xml:space="preserve"> frameworks of human rights and democratic </w:t>
      </w:r>
      <w:r w:rsidR="00361B44" w:rsidRPr="002F6F27">
        <w:t>processes</w:t>
      </w:r>
      <w:r w:rsidR="00DB6EEA">
        <w:t xml:space="preserve">, such as </w:t>
      </w:r>
      <w:r w:rsidR="00361B44" w:rsidRPr="002F6F27">
        <w:t>such as</w:t>
      </w:r>
      <w:r w:rsidR="00EC410F" w:rsidRPr="002F6F27">
        <w:t xml:space="preserve"> </w:t>
      </w:r>
      <w:r w:rsidR="00DB6EEA">
        <w:t>elections</w:t>
      </w:r>
      <w:r w:rsidR="0067624E" w:rsidRPr="002F6F27">
        <w:t xml:space="preserve">. </w:t>
      </w:r>
      <w:r w:rsidR="004A0FF1">
        <w:t>Still</w:t>
      </w:r>
      <w:r w:rsidR="004576FA">
        <w:t>,</w:t>
      </w:r>
      <w:r w:rsidR="004A0FF1">
        <w:t xml:space="preserve"> </w:t>
      </w:r>
      <w:r w:rsidR="006A6751">
        <w:t xml:space="preserve">such </w:t>
      </w:r>
      <w:r w:rsidR="00831EFA">
        <w:t>conceptualizations of citizenship have</w:t>
      </w:r>
      <w:r w:rsidR="00405958">
        <w:t xml:space="preserve"> often obscured a </w:t>
      </w:r>
      <w:r w:rsidR="0045425B">
        <w:t>more</w:t>
      </w:r>
      <w:r w:rsidR="00405958">
        <w:t xml:space="preserve"> dynamic </w:t>
      </w:r>
      <w:r w:rsidR="0045425B">
        <w:t xml:space="preserve">history of </w:t>
      </w:r>
      <w:r w:rsidR="00643F5C">
        <w:t>state-citizen relationship</w:t>
      </w:r>
      <w:r w:rsidR="00405958">
        <w:t xml:space="preserve"> </w:t>
      </w:r>
      <w:r w:rsidR="00D847CE">
        <w:t xml:space="preserve">anchored in everyday </w:t>
      </w:r>
      <w:r w:rsidR="004548F3">
        <w:t>state practice</w:t>
      </w:r>
      <w:r w:rsidR="006A6751">
        <w:t>s</w:t>
      </w:r>
      <w:r w:rsidR="000E3018">
        <w:t xml:space="preserve"> </w:t>
      </w:r>
      <w:r w:rsidR="00774503">
        <w:t xml:space="preserve">and </w:t>
      </w:r>
      <w:r w:rsidR="00141CDF">
        <w:t>experiences</w:t>
      </w:r>
      <w:r w:rsidR="00A17AA8">
        <w:t xml:space="preserve"> of individual</w:t>
      </w:r>
      <w:r w:rsidR="002D2815">
        <w:t>s</w:t>
      </w:r>
      <w:r w:rsidR="00A17AA8">
        <w:t xml:space="preserve"> and community</w:t>
      </w:r>
      <w:r w:rsidR="00141CDF">
        <w:t xml:space="preserve">. </w:t>
      </w:r>
    </w:p>
    <w:p w14:paraId="4EC0D06B" w14:textId="77777777" w:rsidR="0045425B" w:rsidRDefault="0045425B" w:rsidP="00756976">
      <w:pPr>
        <w:jc w:val="both"/>
      </w:pPr>
    </w:p>
    <w:p w14:paraId="050D5D40" w14:textId="4D6BF0E9" w:rsidR="00F00582" w:rsidRPr="00FD50DC" w:rsidRDefault="000B420A" w:rsidP="00756976">
      <w:pPr>
        <w:jc w:val="both"/>
        <w:rPr>
          <w:rFonts w:cs="Helvetica"/>
        </w:rPr>
      </w:pPr>
      <w:r w:rsidRPr="002F6F27">
        <w:t xml:space="preserve">In this essay, I </w:t>
      </w:r>
      <w:r w:rsidR="0067624E" w:rsidRPr="002F6F27">
        <w:t xml:space="preserve">aim to </w:t>
      </w:r>
      <w:r w:rsidRPr="002F6F27">
        <w:t xml:space="preserve">contribute to this debate by focusing on </w:t>
      </w:r>
      <w:r w:rsidR="00405958">
        <w:t xml:space="preserve">the state’s responses to </w:t>
      </w:r>
      <w:r w:rsidR="0067624E" w:rsidRPr="002F6F27">
        <w:t>war injury</w:t>
      </w:r>
      <w:r w:rsidR="00C0184A" w:rsidRPr="002F6F27">
        <w:t xml:space="preserve"> </w:t>
      </w:r>
      <w:r w:rsidR="00405958">
        <w:t xml:space="preserve">as a site where </w:t>
      </w:r>
      <w:r w:rsidR="00C0184A" w:rsidRPr="002F6F27">
        <w:t xml:space="preserve">discourses on </w:t>
      </w:r>
      <w:r w:rsidR="00A4007E">
        <w:t xml:space="preserve">health and </w:t>
      </w:r>
      <w:r w:rsidR="00C0184A" w:rsidRPr="002F6F27">
        <w:t xml:space="preserve">citizenship </w:t>
      </w:r>
      <w:r w:rsidR="00405958">
        <w:t xml:space="preserve">are </w:t>
      </w:r>
      <w:r w:rsidR="00C0184A" w:rsidRPr="002F6F27">
        <w:t>manifested and contested</w:t>
      </w:r>
      <w:r w:rsidR="00326BF1">
        <w:t xml:space="preserve">. </w:t>
      </w:r>
      <w:r w:rsidR="00326BF1" w:rsidRPr="003A72FF">
        <w:rPr>
          <w:rFonts w:cs="Cambria"/>
        </w:rPr>
        <w:t xml:space="preserve">Recent work in </w:t>
      </w:r>
      <w:r w:rsidR="00326BF1">
        <w:rPr>
          <w:rFonts w:cs="Cambria"/>
        </w:rPr>
        <w:t>anthropology (and the</w:t>
      </w:r>
      <w:r w:rsidR="00326BF1" w:rsidRPr="003A72FF">
        <w:rPr>
          <w:rFonts w:cs="Cambria"/>
        </w:rPr>
        <w:t xml:space="preserve"> social sciences </w:t>
      </w:r>
      <w:r w:rsidR="00326BF1">
        <w:rPr>
          <w:rFonts w:cs="Cambria"/>
        </w:rPr>
        <w:t xml:space="preserve">more broadly) </w:t>
      </w:r>
      <w:r w:rsidR="00326BF1" w:rsidRPr="003A72FF">
        <w:rPr>
          <w:rFonts w:cs="Cambria"/>
        </w:rPr>
        <w:t xml:space="preserve">has examined the notion of “citizenship” as a </w:t>
      </w:r>
      <w:r w:rsidR="00326BF1">
        <w:rPr>
          <w:rFonts w:cs="Cambria"/>
        </w:rPr>
        <w:t xml:space="preserve">social </w:t>
      </w:r>
      <w:r w:rsidR="00326BF1" w:rsidRPr="003A72FF">
        <w:rPr>
          <w:rFonts w:cs="Cambria"/>
        </w:rPr>
        <w:t>construct embedded in everyday</w:t>
      </w:r>
      <w:r w:rsidR="00326BF1" w:rsidRPr="00727034">
        <w:rPr>
          <w:rFonts w:cs="Cambria"/>
        </w:rPr>
        <w:t xml:space="preserve"> </w:t>
      </w:r>
      <w:r w:rsidR="00326BF1">
        <w:rPr>
          <w:rFonts w:cs="Cambria"/>
        </w:rPr>
        <w:t>social and material relations</w:t>
      </w:r>
      <w:r w:rsidR="00326BF1" w:rsidRPr="00727034">
        <w:rPr>
          <w:rFonts w:cs="Cambria"/>
        </w:rPr>
        <w:t xml:space="preserve"> and practices of state and society</w:t>
      </w:r>
      <w:r w:rsidR="00326BF1">
        <w:rPr>
          <w:rFonts w:cs="Cambria"/>
        </w:rPr>
        <w:t xml:space="preserve"> </w:t>
      </w:r>
      <w:r w:rsidR="00326BF1">
        <w:rPr>
          <w:rFonts w:cs="Cambria"/>
        </w:rPr>
        <w:fldChar w:fldCharType="begin"/>
      </w:r>
      <w:r w:rsidR="00326BF1">
        <w:rPr>
          <w:rFonts w:cs="Cambria"/>
        </w:rPr>
        <w:instrText xml:space="preserve"> ADDIN ZOTERO_ITEM CSL_CITATION {"citationID":"cDJrS2Pa","properties":{"formattedCitation":"(Hansen and Stepputat 2005)","plainCitation":"(Hansen and Stepputat 2005)"},"citationItems":[{"id":194,"uris":["http://zotero.org/users/1075291/items/7TV6NJ6T"],"uri":["http://zotero.org/users/1075291/items/7TV6NJ6T"],"itemData":{"id":194,"type":"book","title":"Sovereign bodies: citizens, migrants, and states in the postcolonial world","publisher":"Princeton University Press","publisher-place":"Princeton; Oxford","number-of-pages":"vi, 366 p.","event-place":"Princeton; Oxford","ISBN":"0691121184","author":[{"family":"Hansen","given":"Thomas Blom"},{"family":"Stepputat","given":"Finn"}],"issued":{"date-parts":[["2005"]]}}}],"schema":"https://github.com/citation-style-language/schema/raw/master/csl-citation.json"} </w:instrText>
      </w:r>
      <w:r w:rsidR="00326BF1">
        <w:rPr>
          <w:rFonts w:cs="Cambria"/>
        </w:rPr>
        <w:fldChar w:fldCharType="separate"/>
      </w:r>
      <w:r w:rsidR="00326BF1">
        <w:rPr>
          <w:rFonts w:cs="Cambria"/>
          <w:noProof/>
        </w:rPr>
        <w:t>(Hansen and Stepputat 2005)</w:t>
      </w:r>
      <w:r w:rsidR="00326BF1">
        <w:rPr>
          <w:rFonts w:cs="Cambria"/>
        </w:rPr>
        <w:fldChar w:fldCharType="end"/>
      </w:r>
      <w:r w:rsidR="00326BF1" w:rsidRPr="00727034">
        <w:rPr>
          <w:rFonts w:cs="Cambria"/>
        </w:rPr>
        <w:t xml:space="preserve">. </w:t>
      </w:r>
      <w:r w:rsidR="00326BF1">
        <w:rPr>
          <w:rFonts w:cs="Cambria"/>
        </w:rPr>
        <w:t>Such works have argued that</w:t>
      </w:r>
      <w:r w:rsidR="00326BF1" w:rsidRPr="00727034">
        <w:rPr>
          <w:rFonts w:cs="Cambria"/>
        </w:rPr>
        <w:t xml:space="preserve"> </w:t>
      </w:r>
      <w:r w:rsidR="00326BF1">
        <w:rPr>
          <w:rFonts w:cs="Cambria"/>
        </w:rPr>
        <w:t>“</w:t>
      </w:r>
      <w:r w:rsidR="00326BF1" w:rsidRPr="00727034">
        <w:rPr>
          <w:rFonts w:cs="Cambria"/>
        </w:rPr>
        <w:t>citizenship</w:t>
      </w:r>
      <w:r w:rsidR="00326BF1">
        <w:rPr>
          <w:rFonts w:cs="Cambria"/>
        </w:rPr>
        <w:t>”</w:t>
      </w:r>
      <w:r w:rsidR="00326BF1" w:rsidRPr="00727034">
        <w:rPr>
          <w:rFonts w:cs="Cambria"/>
        </w:rPr>
        <w:t xml:space="preserve"> goes beyond its normative Western-centric origins and meanings; rather</w:t>
      </w:r>
      <w:r w:rsidR="00326BF1">
        <w:rPr>
          <w:rFonts w:cs="Cambria"/>
        </w:rPr>
        <w:t>,</w:t>
      </w:r>
      <w:r w:rsidR="00326BF1" w:rsidRPr="00727034">
        <w:rPr>
          <w:rFonts w:cs="Cambria"/>
        </w:rPr>
        <w:t xml:space="preserve"> </w:t>
      </w:r>
      <w:r w:rsidR="00326BF1">
        <w:rPr>
          <w:rFonts w:cs="Cambria"/>
        </w:rPr>
        <w:t>citizenship should be examined as</w:t>
      </w:r>
      <w:r w:rsidR="00326BF1" w:rsidRPr="00727034">
        <w:rPr>
          <w:rFonts w:cs="Cambria"/>
        </w:rPr>
        <w:t xml:space="preserve"> situated in </w:t>
      </w:r>
      <w:r w:rsidR="00326BF1">
        <w:rPr>
          <w:rFonts w:cs="Cambria"/>
        </w:rPr>
        <w:t>historical,</w:t>
      </w:r>
      <w:r w:rsidR="00326BF1" w:rsidRPr="00727034">
        <w:rPr>
          <w:rFonts w:cs="Cambria"/>
        </w:rPr>
        <w:t xml:space="preserve"> </w:t>
      </w:r>
      <w:r w:rsidR="00326BF1">
        <w:rPr>
          <w:rFonts w:cs="Cambria"/>
        </w:rPr>
        <w:t xml:space="preserve">local, and regional </w:t>
      </w:r>
      <w:r w:rsidR="00326BF1" w:rsidRPr="00727034">
        <w:rPr>
          <w:rFonts w:cs="Cambria"/>
        </w:rPr>
        <w:t>processes</w:t>
      </w:r>
      <w:r w:rsidR="00326BF1">
        <w:rPr>
          <w:rFonts w:cs="Cambria"/>
        </w:rPr>
        <w:t xml:space="preserve"> with ever shifting limits and conditions </w:t>
      </w:r>
      <w:r w:rsidR="00326BF1">
        <w:rPr>
          <w:rFonts w:cs="Cambria"/>
        </w:rPr>
        <w:fldChar w:fldCharType="begin"/>
      </w:r>
      <w:r w:rsidR="00326BF1">
        <w:rPr>
          <w:rFonts w:cs="Cambria"/>
        </w:rPr>
        <w:instrText xml:space="preserve"> ADDIN ZOTERO_ITEM CSL_CITATION {"citationID":"R3iLTtyT","properties":{"formattedCitation":"(Nguyen 2008; Das and Poole 2004; Ong 1999; Ong 2006; Faist 2000; Petryna 2002)","plainCitation":"(Nguyen 2008; Das and Poole 2004; Ong 1999; Ong 2006; Faist 2000; Petryna 2002)"},"citationItems":[{"id":496,"uris":["http://zotero.org/users/1075291/items/G9WPWV59"],"uri":["http://zotero.org/users/1075291/items/G9WPWV59"],"itemData":{"id":496,"type":"interview","title":"The Republic of Therapy: War, Neoliberalism, and Citizenship in a West African Epidemic (Manuscript)","author":[{"family":"Nguyen","given":"Vinh-Kim"}],"issued":{"date-parts":[["2008"]]}}},{"id":232,"uris":["http://zotero.org/users/1075291/items/9543XEET"],"uri":["http://zotero.org/users/1075291/items/9543XEET"],"itemData":{"id":232,"type":"book","title":"Anthropology in the Margins of the State","publisher":"School of American Research Press","number-of-pages":"356","source":"Google Books","abstract":"The form and reach of the modern state are changing radically under the pressure of globalization. This innovative exploration of these transformations develops an ethnographic methodology and theoretical apparatus to assess perceptions of power in three regions where state reform and violence have been particularly dramatic: Africa, Latin America, and South Asia. Understanding how people perceive and experience the agency of the state; who is of, and not of, the state; and how practices at the margins shape the state itself are central themes.","ISBN":"978-1-930618-41-1","language":"en","author":[{"family":"Das","given":"Veena"},{"family":"Poole","given":"Deborah"}],"issued":{"date-parts":[["2004"]]}}},{"id":107,"uris":["http://zotero.org/users/1075291/items/56E4H82J"],"uri":["http://zotero.org/users/1075291/items/56E4H82J"],"itemData":{"id":107,"type":"book","title":"Flexible citizenship: The cultural logics of transnationality","publisher":"Duke University Press","publisher-place":"Durham, N.C.","number-of-pages":"ix, 322","event-place":"Durham, N.C.","ISBN":"0822322501","author":[{"family":"Ong","given":"Aihwa"}],"issued":{"date-parts":[["1999"]]}}},{"id":28,"uris":["http://zotero.org/users/1075291/items/2R2F6NVG"],"uri":["http://zotero.org/users/1075291/items/2R2F6NVG"],"itemData":{"id":28,"type":"book","title":"Neoliberalism as exception : mutations in citizenship and sovereignty","publisher":"Duke University Press","publisher-place":"Durham [N.C.]","number-of-pages":"292 p.","event-place":"Durham [N.C.]","URL":"http://www.loc.gov/catdir/toc/ecip065/2005036015.html","ISBN":"0822337363","author":[{"family":"Ong","given":"Aihwa"}],"issued":{"date-parts":[["2006"]]}}},{"id":587,"uris":["http://zotero.org/users/1075291/items/IS66TRNP"],"uri":["http://zotero.org/users/1075291/items/IS66TRNP"],"itemData":{"id":587,"type":"article-journal","title":"Transnationalization in international migration: implications for the study of citizenship and culture","container-title":"Ethnic and Racial Studies","page":"189 - 222","volume":"23","issue":"2","ISSN":"0141-9870 %[ March 24, 2008","author":[{"family":"Faist","given":"Thomas"}],"issued":{"date-parts":[["2000"]]}}},{"id":454,"uris":["http://zotero.org/users/1075291/items/F3BJZI4Q"],"uri":["http://zotero.org/users/1075291/items/F3BJZI4Q"],"itemData":{"id":454,"type":"book","title":"Life exposed : biological citizens after Chernobyl","collection-title":"In-formation series","publisher":"Princeton University Press","publisher-place":"Princeton","number-of-pages":"xviii, 264 p.","event-place":"Princeton","URL":"http://www.loc.gov/catdir/toc/prin032/2002016948.html http://www.loc.gov/catdir/description/prin022/2002016948.html","ISBN":"0691090181","author":[{"family":"Petryna","given":"Adriana"}],"issued":{"date-parts":[["2002"]]}}}],"schema":"https://github.com/citation-style-language/schema/raw/master/csl-citation.json"} </w:instrText>
      </w:r>
      <w:r w:rsidR="00326BF1">
        <w:rPr>
          <w:rFonts w:cs="Cambria"/>
        </w:rPr>
        <w:fldChar w:fldCharType="separate"/>
      </w:r>
      <w:r w:rsidR="00326BF1">
        <w:rPr>
          <w:rFonts w:cs="Cambria"/>
          <w:noProof/>
        </w:rPr>
        <w:t>(Nguyen 2008; Das and Poole 2004; Ong 1999; Ong 2006; Faist 2000; Petryna 2002)</w:t>
      </w:r>
      <w:r w:rsidR="00326BF1">
        <w:rPr>
          <w:rFonts w:cs="Cambria"/>
        </w:rPr>
        <w:fldChar w:fldCharType="end"/>
      </w:r>
      <w:r w:rsidR="00326BF1" w:rsidRPr="00727034">
        <w:rPr>
          <w:rFonts w:cs="Cambria"/>
        </w:rPr>
        <w:t xml:space="preserve">. Building on the work of Michel Foucault </w:t>
      </w:r>
      <w:r w:rsidR="00326BF1">
        <w:rPr>
          <w:rFonts w:cs="Cambria"/>
        </w:rPr>
        <w:fldChar w:fldCharType="begin"/>
      </w:r>
      <w:r w:rsidR="00326BF1">
        <w:rPr>
          <w:rFonts w:cs="Cambria"/>
        </w:rPr>
        <w:instrText xml:space="preserve"> ADDIN ZOTERO_ITEM CSL_CITATION {"citationID":"bzkuD1Ow","properties":{"formattedCitation":"(2003)","plainCitation":"(2003)"},"citationItems":[{"id":675,"uris":["http://zotero.org/users/1075291/items/M4G9M2NX"],"uri":["http://zotero.org/users/1075291/items/M4G9M2NX"],"itemData":{"id":675,"type":"book","title":"\"Society Must Be Defended\": Lectures at the Collège de France, 1975-1976","publisher":"Picador","number-of-pages":"336","edition":"Reprint","source":"Amazon.com","ISBN":"0-312-42266-0","shortTitle":"Society Must Be Defended","author":[{"family":"Foucault","given":"Michel"}],"translator":[{"family":"Macey","given":"David"}],"issued":{"date-parts":[["2003",12,1]]}},"suppress-author":true}],"schema":"https://github.com/citation-style-language/schema/raw/master/csl-citation.json"} </w:instrText>
      </w:r>
      <w:r w:rsidR="00326BF1">
        <w:rPr>
          <w:rFonts w:cs="Cambria"/>
        </w:rPr>
        <w:fldChar w:fldCharType="separate"/>
      </w:r>
      <w:r w:rsidR="00326BF1">
        <w:rPr>
          <w:rFonts w:cs="Cambria"/>
          <w:noProof/>
        </w:rPr>
        <w:t>(2003)</w:t>
      </w:r>
      <w:r w:rsidR="00326BF1">
        <w:rPr>
          <w:rFonts w:cs="Cambria"/>
        </w:rPr>
        <w:fldChar w:fldCharType="end"/>
      </w:r>
      <w:r w:rsidR="00326BF1">
        <w:rPr>
          <w:rFonts w:cs="Cambria"/>
        </w:rPr>
        <w:t xml:space="preserve"> </w:t>
      </w:r>
      <w:r w:rsidR="00326BF1" w:rsidRPr="00727034">
        <w:rPr>
          <w:rFonts w:cs="Cambria"/>
        </w:rPr>
        <w:t>and his theorizat</w:t>
      </w:r>
      <w:r w:rsidR="00326BF1">
        <w:rPr>
          <w:rFonts w:cs="Cambria"/>
        </w:rPr>
        <w:t>ion of the notion of biopolitic—</w:t>
      </w:r>
      <w:r w:rsidR="00326BF1" w:rsidRPr="001A72CB">
        <w:rPr>
          <w:rFonts w:cs="Cambria"/>
        </w:rPr>
        <w:t xml:space="preserve">the increasing incorporation of processes of life </w:t>
      </w:r>
      <w:r w:rsidR="00653B22">
        <w:rPr>
          <w:rFonts w:cs="Cambria"/>
        </w:rPr>
        <w:t>(</w:t>
      </w:r>
      <w:r w:rsidR="00326BF1" w:rsidRPr="001A72CB">
        <w:rPr>
          <w:rFonts w:cs="Cambria"/>
        </w:rPr>
        <w:t>and death</w:t>
      </w:r>
      <w:r w:rsidR="00653B22">
        <w:rPr>
          <w:rFonts w:cs="Cambria"/>
        </w:rPr>
        <w:t>)</w:t>
      </w:r>
      <w:r w:rsidR="00326BF1" w:rsidRPr="001A72CB">
        <w:rPr>
          <w:rFonts w:cs="Cambria"/>
        </w:rPr>
        <w:t xml:space="preserve"> in state politics</w:t>
      </w:r>
      <w:r w:rsidR="00326BF1">
        <w:rPr>
          <w:rFonts w:cs="Cambria"/>
        </w:rPr>
        <w:t xml:space="preserve"> and practices of governance –</w:t>
      </w:r>
      <w:r w:rsidR="00326BF1" w:rsidRPr="00727034">
        <w:rPr>
          <w:rFonts w:cs="Cambria"/>
        </w:rPr>
        <w:t>recent</w:t>
      </w:r>
      <w:r w:rsidR="00326BF1">
        <w:rPr>
          <w:rFonts w:cs="Cambria"/>
        </w:rPr>
        <w:t xml:space="preserve"> </w:t>
      </w:r>
      <w:r w:rsidR="00326BF1" w:rsidRPr="00727034">
        <w:rPr>
          <w:rFonts w:cs="Cambria"/>
        </w:rPr>
        <w:t xml:space="preserve">work have shown </w:t>
      </w:r>
      <w:r w:rsidR="00326BF1">
        <w:rPr>
          <w:rFonts w:cs="Cambria"/>
        </w:rPr>
        <w:t>how</w:t>
      </w:r>
      <w:r w:rsidR="00326BF1" w:rsidRPr="00727034">
        <w:rPr>
          <w:rFonts w:cs="Cambria"/>
        </w:rPr>
        <w:t xml:space="preserve"> </w:t>
      </w:r>
      <w:r w:rsidR="00326BF1">
        <w:rPr>
          <w:rFonts w:cs="Cambria"/>
        </w:rPr>
        <w:t xml:space="preserve">practices </w:t>
      </w:r>
      <w:r w:rsidR="00326BF1" w:rsidRPr="00727034">
        <w:rPr>
          <w:rFonts w:cs="Cambria"/>
        </w:rPr>
        <w:t xml:space="preserve">of citizenship can be further linked </w:t>
      </w:r>
      <w:r w:rsidR="00326BF1">
        <w:rPr>
          <w:rFonts w:cs="Cambria"/>
        </w:rPr>
        <w:t>to</w:t>
      </w:r>
      <w:r w:rsidR="00326BF1" w:rsidRPr="00727034">
        <w:rPr>
          <w:rFonts w:cs="Cambria"/>
        </w:rPr>
        <w:t xml:space="preserve"> </w:t>
      </w:r>
      <w:r w:rsidR="00326BF1">
        <w:rPr>
          <w:rFonts w:cs="Cambria"/>
        </w:rPr>
        <w:t xml:space="preserve">the </w:t>
      </w:r>
      <w:r w:rsidR="00326BF1" w:rsidRPr="00727034">
        <w:rPr>
          <w:rFonts w:cs="Cambria"/>
        </w:rPr>
        <w:t>negotiation</w:t>
      </w:r>
      <w:r w:rsidR="00326BF1">
        <w:rPr>
          <w:rFonts w:cs="Cambria"/>
        </w:rPr>
        <w:t>s of political rights</w:t>
      </w:r>
      <w:r w:rsidR="00326BF1" w:rsidRPr="00727034">
        <w:rPr>
          <w:rFonts w:cs="Cambria"/>
        </w:rPr>
        <w:t xml:space="preserve"> through forms of </w:t>
      </w:r>
      <w:r w:rsidR="00326BF1">
        <w:rPr>
          <w:rFonts w:cs="Cambria"/>
        </w:rPr>
        <w:t xml:space="preserve">physical </w:t>
      </w:r>
      <w:r w:rsidR="00326BF1" w:rsidRPr="00727034">
        <w:rPr>
          <w:rFonts w:cs="Cambria"/>
        </w:rPr>
        <w:t xml:space="preserve">affliction and wellbeing of the </w:t>
      </w:r>
      <w:r w:rsidR="00B95FCA">
        <w:rPr>
          <w:rFonts w:cs="Cambria"/>
        </w:rPr>
        <w:t xml:space="preserve">physical and </w:t>
      </w:r>
      <w:r w:rsidR="00326BF1" w:rsidRPr="00727034">
        <w:rPr>
          <w:rFonts w:cs="Cambria"/>
        </w:rPr>
        <w:t xml:space="preserve">social body. </w:t>
      </w:r>
      <w:r w:rsidR="00326BF1">
        <w:rPr>
          <w:rFonts w:cs="Cambria"/>
        </w:rPr>
        <w:t>For example, i</w:t>
      </w:r>
      <w:r w:rsidR="00326BF1" w:rsidRPr="00727034">
        <w:rPr>
          <w:rFonts w:cs="Cambria"/>
        </w:rPr>
        <w:t xml:space="preserve">n her work on the post-Chernobyl Ukraine, Adriana Patryna </w:t>
      </w:r>
      <w:r w:rsidR="00326BF1">
        <w:rPr>
          <w:rFonts w:cs="Cambria"/>
        </w:rPr>
        <w:fldChar w:fldCharType="begin"/>
      </w:r>
      <w:r w:rsidR="00326BF1">
        <w:rPr>
          <w:rFonts w:cs="Cambria"/>
        </w:rPr>
        <w:instrText xml:space="preserve"> ADDIN ZOTERO_ITEM CSL_CITATION {"citationID":"bW3CBCsF","properties":{"formattedCitation":"(2002)","plainCitation":"(2002)"},"citationItems":[{"id":454,"uris":["http://zotero.org/users/1075291/items/F3BJZI4Q"],"uri":["http://zotero.org/users/1075291/items/F3BJZI4Q"],"itemData":{"id":454,"type":"book","title":"Life exposed : biological citizens after Chernobyl","collection-title":"In-formation series","publisher":"Princeton University Press","publisher-place":"Princeton","number-of-pages":"xviii, 264 p.","event-place":"Princeton","URL":"http://www.loc.gov/catdir/toc/prin032/2002016948.html http://www.loc.gov/catdir/description/prin022/2002016948.html","ISBN":"0691090181","author":[{"family":"Petryna","given":"Adriana"}],"issued":{"date-parts":[["2002"]]}},"suppress-author":true}],"schema":"https://github.com/citation-style-language/schema/raw/master/csl-citation.json"} </w:instrText>
      </w:r>
      <w:r w:rsidR="00326BF1">
        <w:rPr>
          <w:rFonts w:cs="Cambria"/>
        </w:rPr>
        <w:fldChar w:fldCharType="separate"/>
      </w:r>
      <w:r w:rsidR="00326BF1">
        <w:rPr>
          <w:rFonts w:cs="Cambria"/>
          <w:noProof/>
        </w:rPr>
        <w:t>(2002)</w:t>
      </w:r>
      <w:r w:rsidR="00326BF1">
        <w:rPr>
          <w:rFonts w:cs="Cambria"/>
        </w:rPr>
        <w:fldChar w:fldCharType="end"/>
      </w:r>
      <w:r w:rsidR="00326BF1">
        <w:rPr>
          <w:rFonts w:cs="Cambria"/>
        </w:rPr>
        <w:t xml:space="preserve"> </w:t>
      </w:r>
      <w:r w:rsidR="00326BF1" w:rsidRPr="00727034">
        <w:rPr>
          <w:rFonts w:cs="Cambria"/>
        </w:rPr>
        <w:t xml:space="preserve">uses the notion of biological citizenship to understand the ways victims of the disaster </w:t>
      </w:r>
      <w:r w:rsidR="00326BF1" w:rsidRPr="00230F8F">
        <w:rPr>
          <w:rFonts w:cs="Cambria"/>
        </w:rPr>
        <w:t>capitalize on toxic injuries to put forward political claims for citizenship, claiming their affliction as a right to political life.</w:t>
      </w:r>
      <w:r w:rsidR="00326BF1" w:rsidRPr="00727034">
        <w:rPr>
          <w:rFonts w:cs="Cambria"/>
        </w:rPr>
        <w:t xml:space="preserve"> Similarly, in West Africa, medical anthropologist Vinh-Kim Nguyen</w:t>
      </w:r>
      <w:r w:rsidR="00326BF1">
        <w:rPr>
          <w:rFonts w:cs="Cambria"/>
        </w:rPr>
        <w:t xml:space="preserve"> </w:t>
      </w:r>
      <w:r w:rsidR="00326BF1">
        <w:rPr>
          <w:rFonts w:cs="Cambria"/>
        </w:rPr>
        <w:fldChar w:fldCharType="begin"/>
      </w:r>
      <w:r w:rsidR="00326BF1">
        <w:rPr>
          <w:rFonts w:cs="Cambria"/>
        </w:rPr>
        <w:instrText xml:space="preserve"> ADDIN ZOTERO_ITEM CSL_CITATION {"citationID":"nzmaKUjz","properties":{"formattedCitation":"(2005)","plainCitation":"(2005)"},"citationItems":[{"id":78,"uris":["http://zotero.org/users/1075291/items/46PAMZQ3"],"uri":["http://zotero.org/users/1075291/items/46PAMZQ3"],"itemData":{"id":78,"type":"chapter","title":"Antiretroviral Globalism, Biopolitics &amp; Therapeutic Citizenship","container-title":"Global assemblages: technology, politics, and ethics as anthropological problems","publisher":"Blackwell Publishing","publisher-place":"Malden","event-place":"Malden","author":[{"family":"Nguyen","given":"Vinh-Kim"}],"editor":[{"family":"Ong","given":"Aihwa"},{"family":"Collier","given":"Stephen J."}],"issued":{"date-parts":[["2005"]]}},"suppress-author":true}],"schema":"https://github.com/citation-style-language/schema/raw/master/csl-citation.json"} </w:instrText>
      </w:r>
      <w:r w:rsidR="00326BF1">
        <w:rPr>
          <w:rFonts w:cs="Cambria"/>
        </w:rPr>
        <w:fldChar w:fldCharType="separate"/>
      </w:r>
      <w:r w:rsidR="00326BF1">
        <w:rPr>
          <w:rFonts w:cs="Cambria"/>
          <w:noProof/>
        </w:rPr>
        <w:t>(2005)</w:t>
      </w:r>
      <w:r w:rsidR="00326BF1">
        <w:rPr>
          <w:rFonts w:cs="Cambria"/>
        </w:rPr>
        <w:fldChar w:fldCharType="end"/>
      </w:r>
      <w:r w:rsidR="00326BF1" w:rsidRPr="00727034">
        <w:rPr>
          <w:rFonts w:cs="Cambria"/>
        </w:rPr>
        <w:t xml:space="preserve"> </w:t>
      </w:r>
      <w:r w:rsidR="00326BF1">
        <w:rPr>
          <w:rFonts w:cs="Cambria"/>
        </w:rPr>
        <w:t>uses</w:t>
      </w:r>
      <w:r w:rsidR="00326BF1" w:rsidRPr="00727034">
        <w:rPr>
          <w:rFonts w:cs="Cambria"/>
        </w:rPr>
        <w:t xml:space="preserve"> the notion of </w:t>
      </w:r>
      <w:r w:rsidR="00326BF1">
        <w:rPr>
          <w:rFonts w:cs="Cambria"/>
        </w:rPr>
        <w:t>“</w:t>
      </w:r>
      <w:r w:rsidR="00326BF1" w:rsidRPr="00727034">
        <w:rPr>
          <w:rFonts w:cs="Cambria"/>
        </w:rPr>
        <w:t>therapeutic citizenship</w:t>
      </w:r>
      <w:r w:rsidR="00326BF1">
        <w:rPr>
          <w:rFonts w:cs="Cambria"/>
        </w:rPr>
        <w:t>”</w:t>
      </w:r>
      <w:r w:rsidR="00326BF1" w:rsidRPr="00727034">
        <w:rPr>
          <w:rFonts w:cs="Cambria"/>
        </w:rPr>
        <w:t xml:space="preserve"> to explore the political implications of the </w:t>
      </w:r>
      <w:r w:rsidR="00326BF1">
        <w:rPr>
          <w:rFonts w:cs="Cambria"/>
        </w:rPr>
        <w:t>HIV/</w:t>
      </w:r>
      <w:r w:rsidR="00326BF1" w:rsidRPr="00727034">
        <w:rPr>
          <w:rFonts w:cs="Cambria"/>
        </w:rPr>
        <w:t xml:space="preserve">AIDS epidemic </w:t>
      </w:r>
      <w:r w:rsidR="00326BF1" w:rsidRPr="004E3F6B">
        <w:rPr>
          <w:rFonts w:cs="Cambria"/>
        </w:rPr>
        <w:t>in advancing a political and moral economy for a biological claim to citizenship in West Africa</w:t>
      </w:r>
      <w:r w:rsidR="00326BF1" w:rsidRPr="00727034">
        <w:rPr>
          <w:rFonts w:cs="Cambria"/>
        </w:rPr>
        <w:t>—where African state</w:t>
      </w:r>
      <w:r w:rsidR="00326BF1">
        <w:rPr>
          <w:rFonts w:cs="Cambria"/>
        </w:rPr>
        <w:t>s</w:t>
      </w:r>
      <w:r w:rsidR="00326BF1" w:rsidRPr="00727034">
        <w:rPr>
          <w:rFonts w:cs="Cambria"/>
        </w:rPr>
        <w:t xml:space="preserve"> have became incapable of providing health coverage to combat the epidemic. </w:t>
      </w:r>
      <w:r w:rsidR="00326BF1">
        <w:rPr>
          <w:rFonts w:cs="Cambria"/>
        </w:rPr>
        <w:t xml:space="preserve">Building on such critical work, </w:t>
      </w:r>
      <w:r w:rsidR="00326BF1" w:rsidRPr="00727034">
        <w:rPr>
          <w:rFonts w:cs="Cambria"/>
        </w:rPr>
        <w:t xml:space="preserve">I introduce the notion of “wounded citizenship” to </w:t>
      </w:r>
      <w:r w:rsidR="005741EC">
        <w:rPr>
          <w:rFonts w:cs="Cambria"/>
        </w:rPr>
        <w:t>explore</w:t>
      </w:r>
      <w:r w:rsidR="005C293D">
        <w:rPr>
          <w:rFonts w:cs="Cambria"/>
        </w:rPr>
        <w:t xml:space="preserve"> the </w:t>
      </w:r>
      <w:r w:rsidR="00420D66">
        <w:rPr>
          <w:rFonts w:cs="Cambria"/>
        </w:rPr>
        <w:t>way</w:t>
      </w:r>
      <w:r w:rsidR="005C293D">
        <w:rPr>
          <w:rFonts w:cs="Cambria"/>
        </w:rPr>
        <w:t>s</w:t>
      </w:r>
      <w:r w:rsidR="00420D66">
        <w:rPr>
          <w:rFonts w:cs="Cambria"/>
        </w:rPr>
        <w:t xml:space="preserve"> wounds become a site</w:t>
      </w:r>
      <w:r w:rsidR="00FD50DC">
        <w:rPr>
          <w:rFonts w:cs="Cambria"/>
        </w:rPr>
        <w:t xml:space="preserve"> for </w:t>
      </w:r>
      <w:r w:rsidR="00D55F50">
        <w:rPr>
          <w:rFonts w:cs="Cambria"/>
        </w:rPr>
        <w:t xml:space="preserve">contested </w:t>
      </w:r>
      <w:r w:rsidR="007A28EA">
        <w:rPr>
          <w:rFonts w:cs="Cambria"/>
        </w:rPr>
        <w:t xml:space="preserve">therapeutic </w:t>
      </w:r>
      <w:r w:rsidR="00C0679E">
        <w:rPr>
          <w:rFonts w:cs="Cambria"/>
        </w:rPr>
        <w:t>rights</w:t>
      </w:r>
      <w:r w:rsidR="007A28EA">
        <w:rPr>
          <w:rFonts w:cs="Cambria"/>
        </w:rPr>
        <w:t xml:space="preserve"> and</w:t>
      </w:r>
      <w:r w:rsidR="00D55F50">
        <w:rPr>
          <w:rFonts w:cs="Cambria"/>
        </w:rPr>
        <w:t xml:space="preserve"> claims</w:t>
      </w:r>
      <w:r w:rsidR="00FD50DC">
        <w:rPr>
          <w:rFonts w:cs="Cambria"/>
        </w:rPr>
        <w:t xml:space="preserve">. </w:t>
      </w:r>
      <w:r w:rsidR="00F00582" w:rsidRPr="002F6F27">
        <w:rPr>
          <w:rFonts w:cs="Helvetica"/>
        </w:rPr>
        <w:t>Here, I use “</w:t>
      </w:r>
      <w:r w:rsidR="00F00582">
        <w:rPr>
          <w:rFonts w:cs="Helvetica"/>
        </w:rPr>
        <w:t>wounded</w:t>
      </w:r>
      <w:r w:rsidR="00F00582" w:rsidRPr="002F6F27">
        <w:rPr>
          <w:rFonts w:cs="Helvetica"/>
        </w:rPr>
        <w:t xml:space="preserve"> citizenship” as an analytic to </w:t>
      </w:r>
      <w:r w:rsidR="00A66BF6">
        <w:rPr>
          <w:rFonts w:cs="Helvetica"/>
        </w:rPr>
        <w:t>focus on</w:t>
      </w:r>
      <w:r w:rsidR="00F00582" w:rsidRPr="002F6F27">
        <w:rPr>
          <w:rFonts w:cs="Helvetica"/>
        </w:rPr>
        <w:t xml:space="preserve"> the </w:t>
      </w:r>
      <w:r w:rsidR="009A5E85">
        <w:rPr>
          <w:rFonts w:cs="Helvetica"/>
        </w:rPr>
        <w:t xml:space="preserve">legal </w:t>
      </w:r>
      <w:r w:rsidR="00F00582" w:rsidRPr="002F6F27">
        <w:rPr>
          <w:rFonts w:cs="Helvetica"/>
        </w:rPr>
        <w:t xml:space="preserve">history of war injury in Iraq and its consequences on the relationship between those injured and the state. More specifically, I trace the shifting values and responses </w:t>
      </w:r>
      <w:r w:rsidR="00F00582">
        <w:rPr>
          <w:rFonts w:cs="Helvetica"/>
        </w:rPr>
        <w:t>to</w:t>
      </w:r>
      <w:r w:rsidR="00F00582" w:rsidRPr="002F6F27">
        <w:rPr>
          <w:rFonts w:cs="Helvetica"/>
        </w:rPr>
        <w:t xml:space="preserve"> </w:t>
      </w:r>
      <w:r w:rsidR="00F00582">
        <w:rPr>
          <w:rFonts w:cs="Helvetica"/>
        </w:rPr>
        <w:t>“</w:t>
      </w:r>
      <w:r w:rsidR="00F00582" w:rsidRPr="002F6F27">
        <w:rPr>
          <w:rFonts w:cs="Helvetica"/>
        </w:rPr>
        <w:t>woundedness</w:t>
      </w:r>
      <w:r w:rsidR="00F00582">
        <w:rPr>
          <w:rFonts w:cs="Helvetica"/>
        </w:rPr>
        <w:t>”</w:t>
      </w:r>
      <w:r w:rsidR="00F00582" w:rsidRPr="002F6F27">
        <w:rPr>
          <w:rFonts w:cs="Helvetica"/>
        </w:rPr>
        <w:t xml:space="preserve"> </w:t>
      </w:r>
      <w:r w:rsidR="00F00582">
        <w:rPr>
          <w:rFonts w:cs="Helvetica"/>
        </w:rPr>
        <w:t>over time that is in</w:t>
      </w:r>
      <w:r w:rsidR="00F00582" w:rsidRPr="002F6F27">
        <w:rPr>
          <w:rFonts w:cs="Helvetica"/>
        </w:rPr>
        <w:t xml:space="preserve"> subsequent wars in the country—the Iran-Iraq war (1980-1988), the First Gulf War and sanctions (1990-2003), and the post-2003 US-led occupation and “War on Terror.” Through showing how </w:t>
      </w:r>
      <w:r w:rsidR="00F00582">
        <w:rPr>
          <w:rFonts w:cs="Helvetica"/>
        </w:rPr>
        <w:t>wounds</w:t>
      </w:r>
      <w:r w:rsidR="00F00582" w:rsidRPr="002F6F27">
        <w:rPr>
          <w:rFonts w:cs="Helvetica"/>
        </w:rPr>
        <w:t xml:space="preserve"> become animated </w:t>
      </w:r>
      <w:r w:rsidR="00487EAA">
        <w:rPr>
          <w:rFonts w:cs="Helvetica"/>
        </w:rPr>
        <w:t xml:space="preserve">across </w:t>
      </w:r>
      <w:r w:rsidR="00F00582" w:rsidRPr="002F6F27">
        <w:rPr>
          <w:rFonts w:cs="Helvetica"/>
        </w:rPr>
        <w:t>changing state discourses</w:t>
      </w:r>
      <w:r w:rsidR="00F00582">
        <w:rPr>
          <w:rFonts w:cs="Helvetica"/>
        </w:rPr>
        <w:t xml:space="preserve"> </w:t>
      </w:r>
      <w:r w:rsidR="00F00582">
        <w:rPr>
          <w:rFonts w:cs="Helvetica"/>
        </w:rPr>
        <w:lastRenderedPageBreak/>
        <w:t>under these different, yet overlapping, wars</w:t>
      </w:r>
      <w:r w:rsidR="00F00582" w:rsidRPr="002F6F27">
        <w:rPr>
          <w:rFonts w:cs="Helvetica"/>
        </w:rPr>
        <w:t xml:space="preserve">, I aim to show how </w:t>
      </w:r>
      <w:r w:rsidR="00F00582">
        <w:rPr>
          <w:rFonts w:cs="Helvetica"/>
        </w:rPr>
        <w:t>the tensions between the biological and the political</w:t>
      </w:r>
      <w:r w:rsidR="00A850AC">
        <w:rPr>
          <w:rFonts w:cs="Helvetica"/>
        </w:rPr>
        <w:t xml:space="preserve"> </w:t>
      </w:r>
      <w:r w:rsidR="00FD50DC">
        <w:rPr>
          <w:rFonts w:cs="Helvetica"/>
        </w:rPr>
        <w:t xml:space="preserve">refract through the </w:t>
      </w:r>
      <w:r w:rsidR="00FD50DC">
        <w:rPr>
          <w:rFonts w:cs="Cambria"/>
        </w:rPr>
        <w:t xml:space="preserve">instability—or </w:t>
      </w:r>
      <w:r w:rsidR="00E045EF">
        <w:rPr>
          <w:rFonts w:cs="Cambria"/>
        </w:rPr>
        <w:t>“</w:t>
      </w:r>
      <w:r w:rsidR="00FD50DC">
        <w:rPr>
          <w:rFonts w:cs="Cambria"/>
        </w:rPr>
        <w:t>woundedness</w:t>
      </w:r>
      <w:r w:rsidR="00E045EF">
        <w:rPr>
          <w:rFonts w:cs="Cambria"/>
        </w:rPr>
        <w:t>”</w:t>
      </w:r>
      <w:r w:rsidR="00FD50DC">
        <w:rPr>
          <w:rFonts w:cs="Cambria"/>
        </w:rPr>
        <w:t xml:space="preserve">—of such modes of biological citizenship. </w:t>
      </w:r>
      <w:r w:rsidR="00362223">
        <w:rPr>
          <w:rFonts w:cs="Helvetica"/>
        </w:rPr>
        <w:t>In particular</w:t>
      </w:r>
      <w:r w:rsidR="00AF0554">
        <w:rPr>
          <w:rFonts w:cs="Helvetica"/>
        </w:rPr>
        <w:t>,</w:t>
      </w:r>
      <w:r w:rsidR="00362223">
        <w:rPr>
          <w:rFonts w:cs="Helvetica"/>
        </w:rPr>
        <w:t xml:space="preserve"> how the </w:t>
      </w:r>
      <w:r w:rsidR="009B6A07" w:rsidRPr="002F6F27">
        <w:rPr>
          <w:rFonts w:cs="Helvetica"/>
        </w:rPr>
        <w:t xml:space="preserve">changing political value of afflictions </w:t>
      </w:r>
      <w:r w:rsidR="009B6A07">
        <w:rPr>
          <w:rFonts w:cs="Helvetica"/>
        </w:rPr>
        <w:t>are</w:t>
      </w:r>
      <w:r w:rsidR="009B6A07" w:rsidRPr="002F6F27">
        <w:rPr>
          <w:rFonts w:cs="Helvetica"/>
        </w:rPr>
        <w:t xml:space="preserve"> shaped by the </w:t>
      </w:r>
      <w:r w:rsidR="009B6A07">
        <w:rPr>
          <w:rFonts w:cs="Helvetica"/>
        </w:rPr>
        <w:t>broader discourses of</w:t>
      </w:r>
      <w:r w:rsidR="009B6A07" w:rsidRPr="002F6F27">
        <w:rPr>
          <w:rFonts w:cs="Helvetica"/>
        </w:rPr>
        <w:t xml:space="preserve"> war </w:t>
      </w:r>
      <w:r w:rsidR="009B6A07">
        <w:rPr>
          <w:rFonts w:cs="Helvetica"/>
        </w:rPr>
        <w:t xml:space="preserve">and </w:t>
      </w:r>
      <w:r w:rsidR="00977F0A">
        <w:rPr>
          <w:rFonts w:cs="Helvetica"/>
        </w:rPr>
        <w:t xml:space="preserve">alternate </w:t>
      </w:r>
      <w:r w:rsidR="009B6A07">
        <w:rPr>
          <w:rFonts w:cs="Helvetica"/>
        </w:rPr>
        <w:t>political projects</w:t>
      </w:r>
      <w:r w:rsidR="009B6A07" w:rsidRPr="002F6F27">
        <w:rPr>
          <w:rFonts w:cs="Helvetica"/>
        </w:rPr>
        <w:t>.</w:t>
      </w:r>
      <w:r w:rsidR="00921005">
        <w:rPr>
          <w:rFonts w:cs="Cambria"/>
        </w:rPr>
        <w:t xml:space="preserve"> </w:t>
      </w:r>
      <w:r w:rsidR="00F323FF">
        <w:rPr>
          <w:rFonts w:cs="Cambria"/>
        </w:rPr>
        <w:t>I argue that i</w:t>
      </w:r>
      <w:r w:rsidR="009B6CB6">
        <w:rPr>
          <w:rFonts w:cs="Helvetica"/>
        </w:rPr>
        <w:t xml:space="preserve">t is </w:t>
      </w:r>
      <w:r w:rsidR="0084256C">
        <w:rPr>
          <w:rFonts w:cs="Helvetica"/>
        </w:rPr>
        <w:t xml:space="preserve">critical to situate questions of </w:t>
      </w:r>
      <w:r w:rsidR="00B2634E">
        <w:rPr>
          <w:rFonts w:cs="Helvetica"/>
        </w:rPr>
        <w:t>(</w:t>
      </w:r>
      <w:r w:rsidR="00F6122B">
        <w:rPr>
          <w:rFonts w:cs="Helvetica"/>
        </w:rPr>
        <w:t>biological</w:t>
      </w:r>
      <w:r w:rsidR="00B2634E">
        <w:rPr>
          <w:rFonts w:cs="Helvetica"/>
        </w:rPr>
        <w:t xml:space="preserve">) </w:t>
      </w:r>
      <w:r w:rsidR="0084256C">
        <w:rPr>
          <w:rFonts w:cs="Helvetica"/>
        </w:rPr>
        <w:t xml:space="preserve">citizenship in a their historical trajectories to understand the making (and unmaking) of political communities. </w:t>
      </w:r>
    </w:p>
    <w:p w14:paraId="081CE2B5" w14:textId="77777777" w:rsidR="00BC3038" w:rsidRDefault="00BC3038" w:rsidP="00756976">
      <w:pPr>
        <w:jc w:val="both"/>
        <w:rPr>
          <w:rFonts w:cs="Helvetica"/>
        </w:rPr>
      </w:pPr>
    </w:p>
    <w:p w14:paraId="6DEA2ACA" w14:textId="77777777" w:rsidR="00921005" w:rsidRDefault="00921005" w:rsidP="00756976">
      <w:pPr>
        <w:jc w:val="both"/>
        <w:rPr>
          <w:rFonts w:cs="Helvetica"/>
        </w:rPr>
      </w:pPr>
    </w:p>
    <w:p w14:paraId="4B7876A7" w14:textId="56C536F0" w:rsidR="00921005" w:rsidRDefault="006402D2" w:rsidP="00756976">
      <w:pPr>
        <w:jc w:val="both"/>
        <w:rPr>
          <w:rFonts w:cs="Helvetica"/>
        </w:rPr>
      </w:pPr>
      <w:r>
        <w:rPr>
          <w:rFonts w:cs="Helvetica"/>
        </w:rPr>
        <w:t>WOUNDED CITIZENSHIP</w:t>
      </w:r>
    </w:p>
    <w:p w14:paraId="16F7BF6F" w14:textId="1713BD16" w:rsidR="00C65C8D" w:rsidRDefault="000E3018" w:rsidP="00756976">
      <w:pPr>
        <w:jc w:val="both"/>
        <w:rPr>
          <w:rFonts w:cs="Times New Roman"/>
        </w:rPr>
      </w:pPr>
      <w:r>
        <w:t xml:space="preserve">For more than three decades now war-related </w:t>
      </w:r>
      <w:r w:rsidR="00585177">
        <w:t xml:space="preserve">injury and </w:t>
      </w:r>
      <w:r>
        <w:t xml:space="preserve">disability has been central to the articulations of state and citizenship in Iraq. </w:t>
      </w:r>
      <w:r w:rsidR="00585177">
        <w:t xml:space="preserve">Since the start of the Iran-Iraq war in 1980, war injury became central to the Iraqi state policies of welfare and acquired special place in terms of the responsibility of the state to the injured and the disabled. </w:t>
      </w:r>
      <w:r w:rsidRPr="00B15D74">
        <w:rPr>
          <w:rFonts w:cs="Times New Roman"/>
        </w:rPr>
        <w:t xml:space="preserve">The </w:t>
      </w:r>
      <w:r>
        <w:rPr>
          <w:rFonts w:cs="Times New Roman"/>
        </w:rPr>
        <w:t>official</w:t>
      </w:r>
      <w:r w:rsidRPr="00B15D74">
        <w:rPr>
          <w:rFonts w:cs="Times New Roman"/>
        </w:rPr>
        <w:t xml:space="preserve"> definition</w:t>
      </w:r>
      <w:r>
        <w:rPr>
          <w:rFonts w:cs="Times New Roman"/>
        </w:rPr>
        <w:t>s</w:t>
      </w:r>
      <w:r w:rsidRPr="00B15D74">
        <w:rPr>
          <w:rFonts w:cs="Times New Roman"/>
        </w:rPr>
        <w:t xml:space="preserve"> of </w:t>
      </w:r>
      <w:r w:rsidR="00F26A6E">
        <w:rPr>
          <w:rFonts w:cs="Times New Roman"/>
        </w:rPr>
        <w:t>“</w:t>
      </w:r>
      <w:r w:rsidRPr="00B15D74">
        <w:rPr>
          <w:rFonts w:cs="Times New Roman"/>
        </w:rPr>
        <w:t>disability</w:t>
      </w:r>
      <w:r w:rsidR="00F26A6E">
        <w:rPr>
          <w:rFonts w:cs="Times New Roman"/>
        </w:rPr>
        <w:t>”</w:t>
      </w:r>
      <w:r w:rsidRPr="00B15D74">
        <w:rPr>
          <w:rFonts w:cs="Times New Roman"/>
        </w:rPr>
        <w:t xml:space="preserve"> in Iraq falls under the social welfare </w:t>
      </w:r>
      <w:r w:rsidR="00E93992">
        <w:rPr>
          <w:rFonts w:cs="Times New Roman"/>
        </w:rPr>
        <w:t>Act</w:t>
      </w:r>
      <w:r w:rsidRPr="00B15D74">
        <w:rPr>
          <w:rFonts w:cs="Times New Roman"/>
        </w:rPr>
        <w:t xml:space="preserve"> number 126 for the year 1980</w:t>
      </w:r>
      <w:r>
        <w:rPr>
          <w:rFonts w:cs="Times New Roman"/>
        </w:rPr>
        <w:t>. The law</w:t>
      </w:r>
      <w:r w:rsidRPr="00B15D74">
        <w:rPr>
          <w:rFonts w:cs="Times New Roman"/>
        </w:rPr>
        <w:t xml:space="preserve"> was </w:t>
      </w:r>
      <w:r>
        <w:rPr>
          <w:rFonts w:cs="Times New Roman"/>
        </w:rPr>
        <w:t xml:space="preserve">originally </w:t>
      </w:r>
      <w:r w:rsidRPr="00B15D74">
        <w:rPr>
          <w:rFonts w:cs="Times New Roman"/>
        </w:rPr>
        <w:t xml:space="preserve">instated </w:t>
      </w:r>
      <w:r>
        <w:rPr>
          <w:rFonts w:cs="Times New Roman"/>
        </w:rPr>
        <w:t xml:space="preserve">during the border skirmishes between the two countries almost </w:t>
      </w:r>
      <w:r w:rsidRPr="00B15D74">
        <w:rPr>
          <w:rFonts w:cs="Times New Roman"/>
        </w:rPr>
        <w:t xml:space="preserve">3 months before the </w:t>
      </w:r>
      <w:r>
        <w:rPr>
          <w:rFonts w:cs="Times New Roman"/>
        </w:rPr>
        <w:t>official declaration</w:t>
      </w:r>
      <w:r w:rsidRPr="00B15D74">
        <w:rPr>
          <w:rFonts w:cs="Times New Roman"/>
        </w:rPr>
        <w:t xml:space="preserve"> of </w:t>
      </w:r>
      <w:r>
        <w:rPr>
          <w:rFonts w:cs="Times New Roman"/>
        </w:rPr>
        <w:t>war</w:t>
      </w:r>
      <w:r w:rsidRPr="00B15D74">
        <w:rPr>
          <w:rFonts w:cs="Times New Roman"/>
        </w:rPr>
        <w:t xml:space="preserve"> </w:t>
      </w:r>
      <w:r>
        <w:rPr>
          <w:rFonts w:cs="Times New Roman"/>
        </w:rPr>
        <w:t>in August 1980</w:t>
      </w:r>
      <w:r w:rsidRPr="00B15D74">
        <w:rPr>
          <w:rFonts w:cs="Times New Roman"/>
        </w:rPr>
        <w:t xml:space="preserve">. In article 1, </w:t>
      </w:r>
      <w:r w:rsidR="00675886">
        <w:rPr>
          <w:rFonts w:cs="Times New Roman"/>
        </w:rPr>
        <w:t xml:space="preserve">and building on the </w:t>
      </w:r>
      <w:r>
        <w:rPr>
          <w:rFonts w:cs="Times New Roman"/>
        </w:rPr>
        <w:t xml:space="preserve">welfare orientation of the </w:t>
      </w:r>
      <w:r w:rsidR="00EE0714">
        <w:rPr>
          <w:rFonts w:cs="Times New Roman"/>
        </w:rPr>
        <w:t>state</w:t>
      </w:r>
      <w:r>
        <w:rPr>
          <w:rFonts w:cs="Times New Roman"/>
        </w:rPr>
        <w:t xml:space="preserve">, </w:t>
      </w:r>
      <w:r w:rsidR="00627426">
        <w:rPr>
          <w:rFonts w:cs="Times New Roman"/>
        </w:rPr>
        <w:t xml:space="preserve">the law </w:t>
      </w:r>
      <w:r w:rsidR="00EE0714">
        <w:rPr>
          <w:rFonts w:cs="Times New Roman"/>
        </w:rPr>
        <w:t>identified</w:t>
      </w:r>
      <w:r w:rsidRPr="00B15D74">
        <w:rPr>
          <w:rFonts w:cs="Times New Roman"/>
        </w:rPr>
        <w:t xml:space="preserve"> that:  “Social solidarity is the first bases of society, which entails that each citizen should perform </w:t>
      </w:r>
      <w:r w:rsidR="00F31171">
        <w:rPr>
          <w:rFonts w:cs="Times New Roman"/>
        </w:rPr>
        <w:t>[</w:t>
      </w:r>
      <w:r w:rsidRPr="00B15D74">
        <w:rPr>
          <w:rFonts w:cs="Times New Roman"/>
        </w:rPr>
        <w:t>his/her</w:t>
      </w:r>
      <w:r w:rsidR="00E133EF">
        <w:rPr>
          <w:rFonts w:cs="Times New Roman"/>
        </w:rPr>
        <w:t>]</w:t>
      </w:r>
      <w:r w:rsidRPr="00B15D74">
        <w:rPr>
          <w:rFonts w:cs="Times New Roman"/>
        </w:rPr>
        <w:t xml:space="preserve"> </w:t>
      </w:r>
      <w:r w:rsidR="00456BDA">
        <w:rPr>
          <w:rFonts w:cs="Times New Roman"/>
        </w:rPr>
        <w:t xml:space="preserve">full </w:t>
      </w:r>
      <w:r w:rsidRPr="00B15D74">
        <w:rPr>
          <w:rFonts w:cs="Times New Roman"/>
        </w:rPr>
        <w:t xml:space="preserve">duty towards society, while society </w:t>
      </w:r>
      <w:r w:rsidR="00046D21">
        <w:rPr>
          <w:rFonts w:cs="Times New Roman"/>
        </w:rPr>
        <w:t>guarantees</w:t>
      </w:r>
      <w:r w:rsidRPr="00B15D74">
        <w:rPr>
          <w:rFonts w:cs="Times New Roman"/>
        </w:rPr>
        <w:t xml:space="preserve"> co</w:t>
      </w:r>
      <w:r w:rsidR="00E06FE3">
        <w:rPr>
          <w:rFonts w:cs="Times New Roman"/>
        </w:rPr>
        <w:t>mplete rights for the citizen.”</w:t>
      </w:r>
      <w:r w:rsidR="00456BDA">
        <w:rPr>
          <w:rStyle w:val="FootnoteReference"/>
          <w:rFonts w:cs="Times New Roman"/>
        </w:rPr>
        <w:footnoteReference w:id="1"/>
      </w:r>
      <w:r w:rsidR="004A182B">
        <w:rPr>
          <w:rFonts w:cs="Times New Roman" w:hint="cs"/>
        </w:rPr>
        <w:t xml:space="preserve"> </w:t>
      </w:r>
      <w:r w:rsidRPr="00B15D74">
        <w:rPr>
          <w:rFonts w:cs="Times New Roman"/>
        </w:rPr>
        <w:t xml:space="preserve">The law goes into details in describing the responsibility of the state </w:t>
      </w:r>
      <w:r>
        <w:rPr>
          <w:rFonts w:cs="Times New Roman"/>
        </w:rPr>
        <w:t xml:space="preserve">to protect the </w:t>
      </w:r>
      <w:r w:rsidRPr="00B15D74">
        <w:rPr>
          <w:rFonts w:cs="Times New Roman"/>
        </w:rPr>
        <w:t xml:space="preserve">various vulnerable populations, including the poor, the disabled, the orphaned, the widowed, </w:t>
      </w:r>
      <w:r>
        <w:rPr>
          <w:rFonts w:cs="Times New Roman"/>
        </w:rPr>
        <w:t xml:space="preserve">the </w:t>
      </w:r>
      <w:r w:rsidRPr="00B15D74">
        <w:rPr>
          <w:rFonts w:cs="Times New Roman"/>
        </w:rPr>
        <w:t>dependents of the imprisoned</w:t>
      </w:r>
      <w:r>
        <w:rPr>
          <w:rFonts w:cs="Times New Roman"/>
        </w:rPr>
        <w:t xml:space="preserve">. </w:t>
      </w:r>
      <w:r w:rsidRPr="00B15D74">
        <w:rPr>
          <w:rFonts w:cs="Times New Roman"/>
        </w:rPr>
        <w:t xml:space="preserve">Under this 10 page </w:t>
      </w:r>
      <w:r>
        <w:rPr>
          <w:rFonts w:cs="Times New Roman"/>
        </w:rPr>
        <w:t xml:space="preserve">legal document, the main focus is directed towards defining </w:t>
      </w:r>
      <w:r w:rsidR="00221A10">
        <w:rPr>
          <w:rFonts w:cs="Times New Roman"/>
        </w:rPr>
        <w:t xml:space="preserve">injury and </w:t>
      </w:r>
      <w:r>
        <w:rPr>
          <w:rFonts w:cs="Times New Roman"/>
        </w:rPr>
        <w:t xml:space="preserve">disability vis-à-vis the responsibility of the state to the individual and </w:t>
      </w:r>
      <w:r w:rsidR="00065C0A">
        <w:rPr>
          <w:rFonts w:cs="Times New Roman"/>
        </w:rPr>
        <w:t xml:space="preserve">to </w:t>
      </w:r>
      <w:r>
        <w:rPr>
          <w:rFonts w:cs="Times New Roman"/>
        </w:rPr>
        <w:t xml:space="preserve">the family. </w:t>
      </w:r>
      <w:r w:rsidR="0043262A">
        <w:rPr>
          <w:rFonts w:cs="Times New Roman"/>
        </w:rPr>
        <w:t>In article 7</w:t>
      </w:r>
      <w:r w:rsidR="00E127AE">
        <w:rPr>
          <w:rFonts w:cs="Times New Roman"/>
        </w:rPr>
        <w:t xml:space="preserve"> (One)</w:t>
      </w:r>
      <w:r w:rsidR="0043262A">
        <w:rPr>
          <w:rFonts w:cs="Times New Roman"/>
        </w:rPr>
        <w:t>, the law states that: “</w:t>
      </w:r>
      <w:r w:rsidR="00836D0C">
        <w:rPr>
          <w:rFonts w:cs="Times New Roman"/>
        </w:rPr>
        <w:t xml:space="preserve">The state seeks to reduce disability in society and has the mandate to care for the </w:t>
      </w:r>
      <w:r w:rsidR="0043262A">
        <w:rPr>
          <w:rFonts w:cs="Times New Roman"/>
        </w:rPr>
        <w:t>disabled</w:t>
      </w:r>
      <w:r w:rsidR="00836D0C">
        <w:rPr>
          <w:rFonts w:cs="Times New Roman"/>
        </w:rPr>
        <w:t xml:space="preserve"> physically and mentally through their reform</w:t>
      </w:r>
      <w:r w:rsidR="0043262A">
        <w:rPr>
          <w:rFonts w:cs="Times New Roman"/>
        </w:rPr>
        <w:t xml:space="preserve">, </w:t>
      </w:r>
      <w:r w:rsidR="00836D0C">
        <w:rPr>
          <w:rFonts w:cs="Times New Roman"/>
        </w:rPr>
        <w:t>rehabilitation</w:t>
      </w:r>
      <w:r w:rsidR="0043262A">
        <w:rPr>
          <w:rFonts w:cs="Times New Roman"/>
        </w:rPr>
        <w:t xml:space="preserve">, and insertion </w:t>
      </w:r>
      <w:r w:rsidR="00836D0C">
        <w:rPr>
          <w:rFonts w:cs="Times New Roman"/>
        </w:rPr>
        <w:t xml:space="preserve">in </w:t>
      </w:r>
      <w:r w:rsidR="0043262A">
        <w:rPr>
          <w:rFonts w:cs="Times New Roman"/>
        </w:rPr>
        <w:t xml:space="preserve">the </w:t>
      </w:r>
      <w:r w:rsidR="00836D0C">
        <w:rPr>
          <w:rFonts w:cs="Times New Roman"/>
        </w:rPr>
        <w:t xml:space="preserve">work </w:t>
      </w:r>
      <w:r w:rsidR="0043262A">
        <w:rPr>
          <w:rFonts w:cs="Times New Roman"/>
        </w:rPr>
        <w:t xml:space="preserve">place </w:t>
      </w:r>
      <w:r w:rsidR="00836D0C">
        <w:rPr>
          <w:rFonts w:cs="Times New Roman"/>
        </w:rPr>
        <w:t xml:space="preserve">according to their capacities, in </w:t>
      </w:r>
      <w:r w:rsidR="0043262A">
        <w:rPr>
          <w:rFonts w:cs="Times New Roman"/>
        </w:rPr>
        <w:t>preparation</w:t>
      </w:r>
      <w:r w:rsidR="00836D0C">
        <w:rPr>
          <w:rFonts w:cs="Times New Roman"/>
        </w:rPr>
        <w:t xml:space="preserve"> to</w:t>
      </w:r>
      <w:r w:rsidR="0043262A">
        <w:rPr>
          <w:rFonts w:cs="Times New Roman"/>
        </w:rPr>
        <w:t xml:space="preserve"> their</w:t>
      </w:r>
      <w:r w:rsidR="00836D0C">
        <w:rPr>
          <w:rFonts w:cs="Times New Roman"/>
        </w:rPr>
        <w:t xml:space="preserve"> </w:t>
      </w:r>
      <w:r w:rsidR="0043262A">
        <w:rPr>
          <w:rFonts w:cs="Times New Roman"/>
        </w:rPr>
        <w:t xml:space="preserve">integration </w:t>
      </w:r>
      <w:r w:rsidR="00836D0C">
        <w:rPr>
          <w:rFonts w:cs="Times New Roman"/>
        </w:rPr>
        <w:t xml:space="preserve">in society. The state has also the responsibility </w:t>
      </w:r>
      <w:r w:rsidR="0043262A">
        <w:rPr>
          <w:rFonts w:cs="Times New Roman"/>
        </w:rPr>
        <w:t xml:space="preserve">to </w:t>
      </w:r>
      <w:r w:rsidR="00836D0C">
        <w:rPr>
          <w:rFonts w:cs="Times New Roman"/>
        </w:rPr>
        <w:t xml:space="preserve">provide </w:t>
      </w:r>
      <w:r w:rsidR="00681DAB">
        <w:rPr>
          <w:rFonts w:cs="Times New Roman"/>
        </w:rPr>
        <w:t xml:space="preserve">financial, health, mental and social care </w:t>
      </w:r>
      <w:r w:rsidR="00836D0C">
        <w:rPr>
          <w:rFonts w:cs="Times New Roman"/>
        </w:rPr>
        <w:t xml:space="preserve">for those who are </w:t>
      </w:r>
      <w:r w:rsidR="004C1D3F">
        <w:rPr>
          <w:rFonts w:cs="Times New Roman"/>
        </w:rPr>
        <w:t xml:space="preserve">completely incapable of </w:t>
      </w:r>
      <w:r w:rsidR="00836D0C">
        <w:rPr>
          <w:rFonts w:cs="Times New Roman"/>
        </w:rPr>
        <w:t>work</w:t>
      </w:r>
      <w:r w:rsidR="00681DAB">
        <w:rPr>
          <w:rFonts w:cs="Times New Roman"/>
        </w:rPr>
        <w:t>.</w:t>
      </w:r>
      <w:r w:rsidR="00F56F59">
        <w:rPr>
          <w:rFonts w:cs="Times New Roman"/>
        </w:rPr>
        <w:t>”</w:t>
      </w:r>
      <w:r w:rsidR="00013D73">
        <w:rPr>
          <w:rStyle w:val="FootnoteReference"/>
          <w:rFonts w:cs="Times New Roman"/>
        </w:rPr>
        <w:footnoteReference w:id="2"/>
      </w:r>
      <w:r w:rsidR="00C65C8D">
        <w:rPr>
          <w:rFonts w:cs="Times New Roman"/>
        </w:rPr>
        <w:t xml:space="preserve"> </w:t>
      </w:r>
      <w:r>
        <w:rPr>
          <w:rFonts w:cs="Times New Roman"/>
        </w:rPr>
        <w:t xml:space="preserve">The introduction of the law was tightly linked to the war and the anticipated blow to the social, and more precisely the family body. </w:t>
      </w:r>
      <w:r w:rsidR="00A574DB">
        <w:rPr>
          <w:rFonts w:cs="Times New Roman"/>
        </w:rPr>
        <w:t>During the war</w:t>
      </w:r>
      <w:r w:rsidR="008A6E41">
        <w:rPr>
          <w:rFonts w:cs="Times New Roman"/>
        </w:rPr>
        <w:t>, the state emphasized pro-</w:t>
      </w:r>
      <w:r w:rsidR="00A574DB">
        <w:rPr>
          <w:rFonts w:cs="Times New Roman"/>
        </w:rPr>
        <w:t>natal policies</w:t>
      </w:r>
      <w:r w:rsidR="008A6E41">
        <w:rPr>
          <w:rFonts w:cs="Times New Roman"/>
        </w:rPr>
        <w:t>. It provided aid for couples that wanted to get married and subsidies for each child in the family—as an attempt to respond to the loss of men in the battlefield</w:t>
      </w:r>
      <w:r w:rsidR="008566C4">
        <w:rPr>
          <w:rFonts w:cs="Times New Roman"/>
        </w:rPr>
        <w:t xml:space="preserve"> (Dewachi 2017)</w:t>
      </w:r>
      <w:r w:rsidR="008A6E41">
        <w:rPr>
          <w:rFonts w:cs="Times New Roman"/>
        </w:rPr>
        <w:t xml:space="preserve">. </w:t>
      </w:r>
    </w:p>
    <w:p w14:paraId="4412C9F4" w14:textId="77777777" w:rsidR="00C65C8D" w:rsidRDefault="00C65C8D" w:rsidP="00756976">
      <w:pPr>
        <w:jc w:val="both"/>
        <w:rPr>
          <w:rFonts w:cs="Times New Roman"/>
        </w:rPr>
      </w:pPr>
    </w:p>
    <w:p w14:paraId="7CE81152" w14:textId="3977CD7B" w:rsidR="00392CAB" w:rsidRDefault="000E3018" w:rsidP="00756976">
      <w:pPr>
        <w:jc w:val="both"/>
        <w:rPr>
          <w:rFonts w:cs="Times New Roman"/>
        </w:rPr>
      </w:pPr>
      <w:r w:rsidRPr="00B15D74">
        <w:rPr>
          <w:rFonts w:cs="Times New Roman"/>
        </w:rPr>
        <w:t xml:space="preserve">In 1981, one year into the Iran-Iraq war, the </w:t>
      </w:r>
      <w:r>
        <w:rPr>
          <w:rFonts w:cs="Times New Roman"/>
        </w:rPr>
        <w:t>Ministry of Finance established a fund</w:t>
      </w:r>
      <w:r w:rsidRPr="00B15D74">
        <w:rPr>
          <w:rFonts w:cs="Times New Roman"/>
        </w:rPr>
        <w:t xml:space="preserve"> that </w:t>
      </w:r>
      <w:r>
        <w:rPr>
          <w:rFonts w:cs="Times New Roman"/>
        </w:rPr>
        <w:t>which supported</w:t>
      </w:r>
      <w:r w:rsidR="00C65C8D">
        <w:rPr>
          <w:rFonts w:cs="Times New Roman"/>
        </w:rPr>
        <w:t xml:space="preserve"> </w:t>
      </w:r>
      <w:r w:rsidRPr="00B15D74">
        <w:rPr>
          <w:rFonts w:cs="Times New Roman"/>
        </w:rPr>
        <w:t>those who are affected by the war</w:t>
      </w:r>
      <w:r>
        <w:rPr>
          <w:rFonts w:cs="Times New Roman"/>
        </w:rPr>
        <w:t>.</w:t>
      </w:r>
      <w:r w:rsidRPr="00B15D74">
        <w:rPr>
          <w:rFonts w:cs="Times New Roman"/>
        </w:rPr>
        <w:t xml:space="preserve"> </w:t>
      </w:r>
      <w:r>
        <w:rPr>
          <w:rFonts w:cs="Times New Roman"/>
        </w:rPr>
        <w:t>The</w:t>
      </w:r>
      <w:r w:rsidRPr="00B15D74">
        <w:rPr>
          <w:rFonts w:cs="Times New Roman"/>
        </w:rPr>
        <w:t xml:space="preserve"> </w:t>
      </w:r>
      <w:r>
        <w:rPr>
          <w:rFonts w:cs="Times New Roman"/>
        </w:rPr>
        <w:t>fund</w:t>
      </w:r>
      <w:r w:rsidRPr="00B15D74">
        <w:rPr>
          <w:rFonts w:cs="Times New Roman"/>
        </w:rPr>
        <w:t xml:space="preserve"> </w:t>
      </w:r>
      <w:r>
        <w:rPr>
          <w:rFonts w:cs="Times New Roman"/>
        </w:rPr>
        <w:t xml:space="preserve">spelled out compensation for </w:t>
      </w:r>
      <w:r w:rsidRPr="00B15D74">
        <w:rPr>
          <w:rFonts w:cs="Times New Roman"/>
        </w:rPr>
        <w:t>death, physical injuries and damage to properties</w:t>
      </w:r>
      <w:r>
        <w:rPr>
          <w:rFonts w:cs="Times New Roman"/>
        </w:rPr>
        <w:t xml:space="preserve"> that were directly related to the war with Iran.</w:t>
      </w:r>
      <w:r w:rsidRPr="00B15D74">
        <w:rPr>
          <w:rFonts w:cs="Times New Roman"/>
        </w:rPr>
        <w:t xml:space="preserve"> </w:t>
      </w:r>
      <w:r>
        <w:rPr>
          <w:rFonts w:cs="Times New Roman"/>
        </w:rPr>
        <w:t xml:space="preserve">The compensation was based on a functional economy of disability, calculated medically around the “loss” of bodily functions. The highest amount claimed reached close </w:t>
      </w:r>
      <w:r w:rsidRPr="00B15D74">
        <w:rPr>
          <w:rFonts w:cs="Times New Roman"/>
        </w:rPr>
        <w:t>500,000</w:t>
      </w:r>
      <w:r>
        <w:rPr>
          <w:rFonts w:cs="Times New Roman"/>
        </w:rPr>
        <w:t xml:space="preserve"> Dinars—at the time mounting to more than million dollars—and corresponded with more than </w:t>
      </w:r>
      <w:r w:rsidRPr="00B15D74">
        <w:rPr>
          <w:rFonts w:cs="Times New Roman"/>
        </w:rPr>
        <w:t xml:space="preserve">90% </w:t>
      </w:r>
      <w:r>
        <w:rPr>
          <w:rFonts w:cs="Times New Roman"/>
        </w:rPr>
        <w:t xml:space="preserve">functional </w:t>
      </w:r>
      <w:r w:rsidRPr="00B15D74">
        <w:rPr>
          <w:rFonts w:cs="Times New Roman"/>
        </w:rPr>
        <w:t>loss</w:t>
      </w:r>
      <w:r>
        <w:rPr>
          <w:rFonts w:cs="Times New Roman"/>
        </w:rPr>
        <w:t xml:space="preserve"> {</w:t>
      </w:r>
      <w:r w:rsidRPr="00B15D74">
        <w:rPr>
          <w:rFonts w:cs="Times New Roman"/>
        </w:rPr>
        <w:t>Those whos</w:t>
      </w:r>
      <w:r>
        <w:rPr>
          <w:rFonts w:cs="Times New Roman"/>
        </w:rPr>
        <w:t xml:space="preserve">e injury ranged between 60-90% </w:t>
      </w:r>
      <w:r w:rsidRPr="00B15D74">
        <w:rPr>
          <w:rFonts w:cs="Times New Roman"/>
        </w:rPr>
        <w:t>received 50% of the original compensation</w:t>
      </w:r>
      <w:r>
        <w:rPr>
          <w:rFonts w:cs="Times New Roman"/>
        </w:rPr>
        <w:t xml:space="preserve"> and so on}</w:t>
      </w:r>
      <w:r w:rsidR="00392CAB">
        <w:rPr>
          <w:rFonts w:cs="Times New Roman"/>
        </w:rPr>
        <w:t>.</w:t>
      </w:r>
      <w:r w:rsidRPr="00B15D74">
        <w:rPr>
          <w:rFonts w:cs="Times New Roman"/>
        </w:rPr>
        <w:t xml:space="preserve"> </w:t>
      </w:r>
    </w:p>
    <w:p w14:paraId="0791A73A" w14:textId="77777777" w:rsidR="005C6E23" w:rsidRDefault="005C6E23" w:rsidP="00756976">
      <w:pPr>
        <w:jc w:val="both"/>
        <w:rPr>
          <w:rFonts w:cs="Times New Roman"/>
        </w:rPr>
      </w:pPr>
    </w:p>
    <w:p w14:paraId="710B852B" w14:textId="77777777" w:rsidR="00C65C8D" w:rsidRDefault="000E3018" w:rsidP="00756976">
      <w:pPr>
        <w:jc w:val="both"/>
        <w:rPr>
          <w:rFonts w:cs="Times New Roman"/>
        </w:rPr>
      </w:pPr>
      <w:r w:rsidRPr="00B15D74">
        <w:rPr>
          <w:rFonts w:cs="Times New Roman"/>
        </w:rPr>
        <w:t>In 1984</w:t>
      </w:r>
      <w:r>
        <w:rPr>
          <w:rFonts w:cs="Times New Roman"/>
        </w:rPr>
        <w:t xml:space="preserve">, </w:t>
      </w:r>
      <w:r w:rsidRPr="00B15D74">
        <w:rPr>
          <w:rFonts w:cs="Times New Roman"/>
        </w:rPr>
        <w:t>four years into the war</w:t>
      </w:r>
      <w:r>
        <w:rPr>
          <w:rFonts w:cs="Times New Roman"/>
        </w:rPr>
        <w:t>,</w:t>
      </w:r>
      <w:r w:rsidRPr="00B15D74">
        <w:rPr>
          <w:rFonts w:cs="Times New Roman"/>
        </w:rPr>
        <w:t xml:space="preserve"> </w:t>
      </w:r>
      <w:r>
        <w:rPr>
          <w:rFonts w:cs="Times New Roman"/>
        </w:rPr>
        <w:t>and with declaration of austerity measures, the government, burdened by the number of the injured, radically reduced</w:t>
      </w:r>
      <w:r w:rsidRPr="00B15D74">
        <w:rPr>
          <w:rFonts w:cs="Times New Roman"/>
        </w:rPr>
        <w:t xml:space="preserve"> the compensation from 500,000 to 3000 dinars. </w:t>
      </w:r>
      <w:r>
        <w:rPr>
          <w:rFonts w:cs="Times New Roman"/>
        </w:rPr>
        <w:t xml:space="preserve">During the same year, the government issued a new decree </w:t>
      </w:r>
      <w:r w:rsidRPr="00B15D74">
        <w:rPr>
          <w:rFonts w:cs="Times New Roman"/>
        </w:rPr>
        <w:t xml:space="preserve">offering compensations </w:t>
      </w:r>
      <w:r>
        <w:rPr>
          <w:rFonts w:cs="Times New Roman"/>
        </w:rPr>
        <w:t>and subsidies to the disabled to encourage marriage and procreation. In line with the general direction of pro</w:t>
      </w:r>
      <w:r w:rsidR="00392CAB">
        <w:rPr>
          <w:rFonts w:cs="Times New Roman"/>
        </w:rPr>
        <w:t>-</w:t>
      </w:r>
      <w:r>
        <w:rPr>
          <w:rFonts w:cs="Times New Roman"/>
        </w:rPr>
        <w:t xml:space="preserve">natal policies </w:t>
      </w:r>
      <w:r w:rsidR="00392CAB">
        <w:rPr>
          <w:rFonts w:cs="Times New Roman"/>
        </w:rPr>
        <w:t>during the war</w:t>
      </w:r>
      <w:r>
        <w:rPr>
          <w:rFonts w:cs="Times New Roman"/>
        </w:rPr>
        <w:t xml:space="preserve">, the decree offered </w:t>
      </w:r>
      <w:r w:rsidR="00D04F90">
        <w:rPr>
          <w:rFonts w:cs="Times New Roman"/>
        </w:rPr>
        <w:t xml:space="preserve">injured and </w:t>
      </w:r>
      <w:r>
        <w:rPr>
          <w:rFonts w:cs="Times New Roman"/>
        </w:rPr>
        <w:t xml:space="preserve">disabled war veterans the financial and the moral support to marry and procreate. Many disabled veterans took advantage of this law, which offered an opportunity to normalize disability within the framework of family building in society. </w:t>
      </w:r>
    </w:p>
    <w:p w14:paraId="4F594BC4" w14:textId="77777777" w:rsidR="00C65C8D" w:rsidRDefault="00C65C8D" w:rsidP="00756976">
      <w:pPr>
        <w:jc w:val="both"/>
        <w:rPr>
          <w:rFonts w:cs="Times New Roman"/>
        </w:rPr>
      </w:pPr>
    </w:p>
    <w:p w14:paraId="3113B0DC" w14:textId="6200AF7D" w:rsidR="000E3018" w:rsidRDefault="000E3018" w:rsidP="00756976">
      <w:pPr>
        <w:jc w:val="both"/>
        <w:rPr>
          <w:rFonts w:cs="Times New Roman"/>
        </w:rPr>
      </w:pPr>
      <w:r>
        <w:rPr>
          <w:rFonts w:cs="Times New Roman"/>
        </w:rPr>
        <w:t xml:space="preserve">Towards the end of the war, the government commissioned a foreign French company to build two disability villages that housed more than a hundred families of war veterans. The two sites located in the vicinity of Baghdad were </w:t>
      </w:r>
      <w:r w:rsidR="00D04F90">
        <w:rPr>
          <w:rFonts w:cs="Times New Roman"/>
        </w:rPr>
        <w:t xml:space="preserve">ominously called </w:t>
      </w:r>
      <w:r w:rsidR="00D04F90" w:rsidRPr="00713E4C">
        <w:rPr>
          <w:rFonts w:cs="Times New Roman"/>
          <w:i/>
        </w:rPr>
        <w:t>M</w:t>
      </w:r>
      <w:r w:rsidRPr="00713E4C">
        <w:rPr>
          <w:rFonts w:cs="Times New Roman"/>
          <w:i/>
        </w:rPr>
        <w:t>adinat al Thura</w:t>
      </w:r>
      <w:r>
        <w:rPr>
          <w:rFonts w:cs="Times New Roman"/>
        </w:rPr>
        <w:t xml:space="preserve"> and </w:t>
      </w:r>
      <w:r w:rsidRPr="00713E4C">
        <w:rPr>
          <w:rFonts w:cs="Times New Roman"/>
          <w:i/>
        </w:rPr>
        <w:t>Madinat al Shumoukh</w:t>
      </w:r>
      <w:r>
        <w:rPr>
          <w:rFonts w:cs="Times New Roman"/>
        </w:rPr>
        <w:t xml:space="preserve"> (</w:t>
      </w:r>
      <w:r w:rsidR="00713E4C" w:rsidRPr="00713E4C">
        <w:rPr>
          <w:rFonts w:cs="Times New Roman"/>
          <w:i/>
        </w:rPr>
        <w:t>C</w:t>
      </w:r>
      <w:r w:rsidRPr="00713E4C">
        <w:rPr>
          <w:rFonts w:cs="Times New Roman"/>
          <w:i/>
        </w:rPr>
        <w:t>ity of Pinnacle</w:t>
      </w:r>
      <w:r>
        <w:rPr>
          <w:rFonts w:cs="Times New Roman"/>
        </w:rPr>
        <w:t xml:space="preserve"> and </w:t>
      </w:r>
      <w:r w:rsidRPr="00713E4C">
        <w:rPr>
          <w:rFonts w:cs="Times New Roman"/>
          <w:i/>
        </w:rPr>
        <w:t>City of Glory</w:t>
      </w:r>
      <w:r>
        <w:rPr>
          <w:rFonts w:cs="Times New Roman"/>
        </w:rPr>
        <w:t xml:space="preserve"> respectively). The two “cities” were designed ergonomically with service to accommodate the needs of the disabled. In addition to the disable-friendly housing, each city entailed an elementary school for the children, a healthcare center staffed with doctors, nurses, social workers and physiotherapists, and a sport center where many of the disabled exercised and competed in special sports games. In addition the state offered many privileges in education to the sons and daughters of the disabled providing them with bounces. </w:t>
      </w:r>
    </w:p>
    <w:p w14:paraId="79C90474" w14:textId="77777777" w:rsidR="005C6E23" w:rsidRDefault="005C6E23" w:rsidP="00756976">
      <w:pPr>
        <w:jc w:val="both"/>
        <w:rPr>
          <w:rFonts w:cs="Times New Roman"/>
        </w:rPr>
      </w:pPr>
    </w:p>
    <w:p w14:paraId="34C2A3BF" w14:textId="6B5884F9" w:rsidR="007C50AD" w:rsidRDefault="001A4CC1" w:rsidP="00756976">
      <w:pPr>
        <w:jc w:val="both"/>
        <w:rPr>
          <w:rFonts w:cs="Times New Roman"/>
        </w:rPr>
      </w:pPr>
      <w:r>
        <w:rPr>
          <w:rFonts w:cs="Times New Roman"/>
        </w:rPr>
        <w:t xml:space="preserve">The declaration of </w:t>
      </w:r>
      <w:r w:rsidR="007C50AD">
        <w:rPr>
          <w:rFonts w:cs="Times New Roman"/>
        </w:rPr>
        <w:t>ceasefire</w:t>
      </w:r>
      <w:r>
        <w:rPr>
          <w:rFonts w:cs="Times New Roman"/>
        </w:rPr>
        <w:t xml:space="preserve"> and end of the war in 1988, presented the Iraqi government with major </w:t>
      </w:r>
      <w:r w:rsidR="00BC6BAB">
        <w:rPr>
          <w:rFonts w:cs="Times New Roman"/>
        </w:rPr>
        <w:t>population and demographic</w:t>
      </w:r>
      <w:r w:rsidR="009A324A">
        <w:rPr>
          <w:rFonts w:cs="Times New Roman"/>
        </w:rPr>
        <w:t xml:space="preserve"> </w:t>
      </w:r>
      <w:r>
        <w:rPr>
          <w:rFonts w:cs="Times New Roman"/>
        </w:rPr>
        <w:t>problem</w:t>
      </w:r>
      <w:r w:rsidR="00F37494">
        <w:rPr>
          <w:rFonts w:cs="Times New Roman"/>
        </w:rPr>
        <w:t>s</w:t>
      </w:r>
      <w:r>
        <w:rPr>
          <w:rFonts w:cs="Times New Roman"/>
        </w:rPr>
        <w:t xml:space="preserve">. In addition to the large economic debt that </w:t>
      </w:r>
      <w:r w:rsidR="004A647F">
        <w:rPr>
          <w:rFonts w:cs="Times New Roman"/>
        </w:rPr>
        <w:t>incurred from</w:t>
      </w:r>
      <w:r w:rsidR="008D58DE">
        <w:rPr>
          <w:rFonts w:cs="Times New Roman"/>
        </w:rPr>
        <w:t xml:space="preserve"> the</w:t>
      </w:r>
      <w:r>
        <w:rPr>
          <w:rFonts w:cs="Times New Roman"/>
        </w:rPr>
        <w:t xml:space="preserve"> war, there was the problem of the returning population</w:t>
      </w:r>
      <w:r w:rsidR="008D58DE">
        <w:rPr>
          <w:rFonts w:cs="Times New Roman"/>
        </w:rPr>
        <w:t>s</w:t>
      </w:r>
      <w:r>
        <w:rPr>
          <w:rFonts w:cs="Times New Roman"/>
        </w:rPr>
        <w:t xml:space="preserve"> from the frontline seeking </w:t>
      </w:r>
      <w:r w:rsidR="00BF140C">
        <w:rPr>
          <w:rFonts w:cs="Times New Roman"/>
        </w:rPr>
        <w:t>reintegration</w:t>
      </w:r>
      <w:r>
        <w:rPr>
          <w:rFonts w:cs="Times New Roman"/>
        </w:rPr>
        <w:t xml:space="preserve"> in</w:t>
      </w:r>
      <w:r w:rsidR="00BF140C">
        <w:rPr>
          <w:rFonts w:cs="Times New Roman"/>
        </w:rPr>
        <w:t>to</w:t>
      </w:r>
      <w:r>
        <w:rPr>
          <w:rFonts w:cs="Times New Roman"/>
        </w:rPr>
        <w:t xml:space="preserve"> the job market. </w:t>
      </w:r>
      <w:r w:rsidR="00D4605E">
        <w:rPr>
          <w:rFonts w:cs="Times New Roman"/>
        </w:rPr>
        <w:t xml:space="preserve">Iraq’s invasion of Kuwait in 1990 could be seen as a response to the inability of the state to </w:t>
      </w:r>
      <w:r w:rsidR="00BF140C">
        <w:rPr>
          <w:rFonts w:cs="Times New Roman"/>
        </w:rPr>
        <w:t xml:space="preserve">respond to the </w:t>
      </w:r>
      <w:r w:rsidR="00D4605E">
        <w:rPr>
          <w:rFonts w:cs="Times New Roman"/>
        </w:rPr>
        <w:t xml:space="preserve">rising demands of the returning soldiers who after putting their lives on the line, wanted to be </w:t>
      </w:r>
      <w:r w:rsidR="00BF140C">
        <w:rPr>
          <w:rFonts w:cs="Times New Roman"/>
        </w:rPr>
        <w:t>compensated</w:t>
      </w:r>
      <w:r w:rsidR="00D4605E">
        <w:rPr>
          <w:rFonts w:cs="Times New Roman"/>
        </w:rPr>
        <w:t xml:space="preserve"> by </w:t>
      </w:r>
      <w:r w:rsidR="00BF140C">
        <w:rPr>
          <w:rFonts w:cs="Times New Roman"/>
        </w:rPr>
        <w:t>the</w:t>
      </w:r>
      <w:r w:rsidR="00D4605E">
        <w:rPr>
          <w:rFonts w:cs="Times New Roman"/>
        </w:rPr>
        <w:t xml:space="preserve"> economically </w:t>
      </w:r>
      <w:r w:rsidR="00BF140C">
        <w:rPr>
          <w:rFonts w:cs="Times New Roman"/>
        </w:rPr>
        <w:t>challenged</w:t>
      </w:r>
      <w:r w:rsidR="00D4605E">
        <w:rPr>
          <w:rFonts w:cs="Times New Roman"/>
        </w:rPr>
        <w:t xml:space="preserve"> state. </w:t>
      </w:r>
      <w:r w:rsidR="00D14772">
        <w:rPr>
          <w:rFonts w:cs="Times New Roman"/>
        </w:rPr>
        <w:t xml:space="preserve">The international </w:t>
      </w:r>
      <w:r w:rsidR="00203D14">
        <w:rPr>
          <w:rFonts w:cs="Times New Roman"/>
        </w:rPr>
        <w:t>backlash</w:t>
      </w:r>
      <w:r w:rsidR="00D14772">
        <w:rPr>
          <w:rFonts w:cs="Times New Roman"/>
        </w:rPr>
        <w:t xml:space="preserve"> </w:t>
      </w:r>
      <w:r w:rsidR="00203D14">
        <w:rPr>
          <w:rFonts w:cs="Times New Roman"/>
        </w:rPr>
        <w:t>on Iraq’s invasion of Kuwait with the 90-day war that destroyed the country’s physical infrastructure and the twelve-years of sanctions that followed made sure that the Iraqi gove</w:t>
      </w:r>
      <w:r w:rsidR="00BC6BAB">
        <w:rPr>
          <w:rFonts w:cs="Times New Roman"/>
        </w:rPr>
        <w:t xml:space="preserve">rnment would remain crippled </w:t>
      </w:r>
      <w:r w:rsidR="00BC6BAB">
        <w:rPr>
          <w:rFonts w:cs="Times New Roman"/>
        </w:rPr>
        <w:softHyphen/>
      </w:r>
      <w:r w:rsidR="00203D14">
        <w:rPr>
          <w:rFonts w:cs="Times New Roman"/>
        </w:rPr>
        <w:t xml:space="preserve">as its </w:t>
      </w:r>
      <w:r w:rsidR="00BC6BAB">
        <w:rPr>
          <w:rFonts w:cs="Times New Roman"/>
        </w:rPr>
        <w:t>populations suffered the burden.</w:t>
      </w:r>
    </w:p>
    <w:p w14:paraId="2FBCD2AC" w14:textId="77777777" w:rsidR="005C6E23" w:rsidRDefault="005C6E23" w:rsidP="00756976">
      <w:pPr>
        <w:jc w:val="both"/>
        <w:rPr>
          <w:rFonts w:cs="Times New Roman"/>
        </w:rPr>
      </w:pPr>
    </w:p>
    <w:p w14:paraId="5B74A570" w14:textId="345E6DFC" w:rsidR="000E3018" w:rsidRDefault="000E3018" w:rsidP="00756976">
      <w:pPr>
        <w:jc w:val="both"/>
        <w:rPr>
          <w:rFonts w:cs="Times New Roman"/>
        </w:rPr>
      </w:pPr>
      <w:r w:rsidRPr="00B15D74">
        <w:rPr>
          <w:rFonts w:cs="Times New Roman"/>
        </w:rPr>
        <w:t xml:space="preserve">Throughout the 1990s several laws </w:t>
      </w:r>
      <w:r>
        <w:rPr>
          <w:rFonts w:cs="Times New Roman"/>
        </w:rPr>
        <w:t>were</w:t>
      </w:r>
      <w:r w:rsidRPr="00B15D74">
        <w:rPr>
          <w:rFonts w:cs="Times New Roman"/>
        </w:rPr>
        <w:t xml:space="preserve"> put forward to support those affected </w:t>
      </w:r>
      <w:r>
        <w:rPr>
          <w:rFonts w:cs="Times New Roman"/>
        </w:rPr>
        <w:t>by the 1991 Gulf War</w:t>
      </w:r>
      <w:r w:rsidRPr="00B15D74">
        <w:rPr>
          <w:rFonts w:cs="Times New Roman"/>
        </w:rPr>
        <w:t xml:space="preserve">. </w:t>
      </w:r>
      <w:r>
        <w:rPr>
          <w:rFonts w:cs="Times New Roman"/>
        </w:rPr>
        <w:t>Struggling with gaining back control over the country after the failed popular uprising, the fragile Ba</w:t>
      </w:r>
      <w:r w:rsidR="00805254">
        <w:rPr>
          <w:rFonts w:cs="Times New Roman"/>
        </w:rPr>
        <w:t>‘</w:t>
      </w:r>
      <w:r>
        <w:rPr>
          <w:rFonts w:cs="Times New Roman"/>
        </w:rPr>
        <w:t xml:space="preserve">thist regime created a new fund to address compensations for victims of that war. Once again, the etiology of injury and disability of war was defined in relation to the actions of the external enemy, yet adding the effects of those who were afflicted by the internal actions of the uprising. The fund was </w:t>
      </w:r>
      <w:r w:rsidRPr="00B15D74">
        <w:rPr>
          <w:rFonts w:cs="Times New Roman"/>
        </w:rPr>
        <w:t>simply called Al-</w:t>
      </w:r>
      <w:r w:rsidRPr="00B15D74">
        <w:rPr>
          <w:rFonts w:cs="Times New Roman"/>
          <w:i/>
        </w:rPr>
        <w:t>Sandouq</w:t>
      </w:r>
      <w:r w:rsidRPr="00B15D74">
        <w:rPr>
          <w:rFonts w:cs="Times New Roman"/>
        </w:rPr>
        <w:t xml:space="preserve"> </w:t>
      </w:r>
      <w:r>
        <w:rPr>
          <w:rFonts w:cs="Times New Roman"/>
        </w:rPr>
        <w:t>(</w:t>
      </w:r>
      <w:r w:rsidRPr="00B15D74">
        <w:rPr>
          <w:rFonts w:cs="Times New Roman"/>
        </w:rPr>
        <w:t xml:space="preserve">or </w:t>
      </w:r>
      <w:r>
        <w:rPr>
          <w:rFonts w:cs="Times New Roman"/>
        </w:rPr>
        <w:t>The Fund) which claimed to support the relief and compensation</w:t>
      </w:r>
      <w:r w:rsidRPr="00B15D74">
        <w:rPr>
          <w:rFonts w:cs="Times New Roman"/>
        </w:rPr>
        <w:t xml:space="preserve"> </w:t>
      </w:r>
      <w:r>
        <w:rPr>
          <w:rFonts w:cs="Times New Roman"/>
        </w:rPr>
        <w:t xml:space="preserve">of </w:t>
      </w:r>
      <w:r w:rsidRPr="00B15D74">
        <w:rPr>
          <w:rFonts w:cs="Times New Roman"/>
        </w:rPr>
        <w:t xml:space="preserve">those who were affected in </w:t>
      </w:r>
      <w:r w:rsidR="007868CE">
        <w:rPr>
          <w:rFonts w:cs="Times New Roman"/>
        </w:rPr>
        <w:t>what the regime called “The Mother of All B</w:t>
      </w:r>
      <w:r w:rsidR="002A2A90">
        <w:rPr>
          <w:rFonts w:cs="Times New Roman"/>
        </w:rPr>
        <w:t>attles and the Page of Treachery and T</w:t>
      </w:r>
      <w:r w:rsidRPr="00B15D74">
        <w:rPr>
          <w:rFonts w:cs="Times New Roman"/>
        </w:rPr>
        <w:t>reason</w:t>
      </w:r>
      <w:r w:rsidR="000F2AF8">
        <w:rPr>
          <w:rFonts w:cs="Times New Roman"/>
        </w:rPr>
        <w:t>,”</w:t>
      </w:r>
      <w:r w:rsidRPr="00B15D74">
        <w:rPr>
          <w:rFonts w:cs="Times New Roman"/>
        </w:rPr>
        <w:t xml:space="preserve"> </w:t>
      </w:r>
      <w:r>
        <w:rPr>
          <w:rFonts w:cs="Times New Roman"/>
        </w:rPr>
        <w:t xml:space="preserve">a reference to </w:t>
      </w:r>
      <w:r w:rsidR="000F2AF8">
        <w:rPr>
          <w:rFonts w:cs="Times New Roman"/>
        </w:rPr>
        <w:t xml:space="preserve">the US-led war international sanctions and </w:t>
      </w:r>
      <w:r>
        <w:rPr>
          <w:rFonts w:cs="Times New Roman"/>
        </w:rPr>
        <w:t xml:space="preserve">the </w:t>
      </w:r>
      <w:r w:rsidR="007A4EEA">
        <w:rPr>
          <w:rFonts w:cs="Times New Roman"/>
        </w:rPr>
        <w:t xml:space="preserve">failed </w:t>
      </w:r>
      <w:r w:rsidRPr="00B15D74">
        <w:rPr>
          <w:rFonts w:cs="Times New Roman"/>
        </w:rPr>
        <w:t xml:space="preserve">uprising in the south of Iraq. </w:t>
      </w:r>
    </w:p>
    <w:p w14:paraId="79EAE620" w14:textId="77777777" w:rsidR="005C6E23" w:rsidRDefault="005C6E23" w:rsidP="00756976">
      <w:pPr>
        <w:jc w:val="both"/>
        <w:rPr>
          <w:rFonts w:cs="Times New Roman"/>
        </w:rPr>
      </w:pPr>
    </w:p>
    <w:p w14:paraId="24FB9866" w14:textId="50906542" w:rsidR="000E3018" w:rsidRDefault="000E3018" w:rsidP="00756976">
      <w:pPr>
        <w:jc w:val="both"/>
        <w:rPr>
          <w:rFonts w:cs="Times New Roman"/>
        </w:rPr>
      </w:pPr>
      <w:r w:rsidRPr="00B15D74">
        <w:rPr>
          <w:rFonts w:cs="Times New Roman"/>
        </w:rPr>
        <w:t>After 2003, and fall of the Ba</w:t>
      </w:r>
      <w:r w:rsidR="00231861">
        <w:rPr>
          <w:rFonts w:cs="Times New Roman"/>
        </w:rPr>
        <w:t>‘</w:t>
      </w:r>
      <w:r w:rsidRPr="00B15D74">
        <w:rPr>
          <w:rFonts w:cs="Times New Roman"/>
        </w:rPr>
        <w:t xml:space="preserve">ath regime, </w:t>
      </w:r>
      <w:r>
        <w:rPr>
          <w:rFonts w:cs="Times New Roman"/>
        </w:rPr>
        <w:t xml:space="preserve">the </w:t>
      </w:r>
      <w:r w:rsidRPr="00B15D74">
        <w:rPr>
          <w:rFonts w:cs="Times New Roman"/>
        </w:rPr>
        <w:t xml:space="preserve">new </w:t>
      </w:r>
      <w:r>
        <w:rPr>
          <w:rFonts w:cs="Times New Roman"/>
        </w:rPr>
        <w:t xml:space="preserve">Iraqi government under the occupation struggled with redefining new </w:t>
      </w:r>
      <w:r w:rsidRPr="00B15D74">
        <w:rPr>
          <w:rFonts w:cs="Times New Roman"/>
        </w:rPr>
        <w:t xml:space="preserve">meanings of war injuries </w:t>
      </w:r>
      <w:r w:rsidR="00716B65">
        <w:rPr>
          <w:rFonts w:cs="Times New Roman"/>
        </w:rPr>
        <w:t>and woundedness</w:t>
      </w:r>
      <w:r w:rsidRPr="00B15D74">
        <w:rPr>
          <w:rFonts w:cs="Times New Roman"/>
        </w:rPr>
        <w:t xml:space="preserve">. In 2004 the first </w:t>
      </w:r>
      <w:r>
        <w:rPr>
          <w:rFonts w:cs="Times New Roman"/>
        </w:rPr>
        <w:t xml:space="preserve">new </w:t>
      </w:r>
      <w:r w:rsidRPr="00B15D74">
        <w:rPr>
          <w:rFonts w:cs="Times New Roman"/>
        </w:rPr>
        <w:t xml:space="preserve">law of compensation was issued </w:t>
      </w:r>
      <w:r>
        <w:rPr>
          <w:rFonts w:cs="Times New Roman"/>
        </w:rPr>
        <w:t>and s</w:t>
      </w:r>
      <w:r w:rsidRPr="00B15D74">
        <w:rPr>
          <w:rFonts w:cs="Times New Roman"/>
        </w:rPr>
        <w:t>igned by, then</w:t>
      </w:r>
      <w:r>
        <w:rPr>
          <w:rFonts w:cs="Times New Roman"/>
        </w:rPr>
        <w:t>,</w:t>
      </w:r>
      <w:r w:rsidRPr="00B15D74">
        <w:rPr>
          <w:rFonts w:cs="Times New Roman"/>
        </w:rPr>
        <w:t xml:space="preserve"> the Prime Minister Ayad Allawi. </w:t>
      </w:r>
      <w:r>
        <w:rPr>
          <w:rFonts w:cs="Times New Roman"/>
        </w:rPr>
        <w:t>Implicated in a totally different war, a more internal one this time, t</w:t>
      </w:r>
      <w:r w:rsidRPr="00B15D74">
        <w:rPr>
          <w:rFonts w:cs="Times New Roman"/>
        </w:rPr>
        <w:t xml:space="preserve">he new law </w:t>
      </w:r>
      <w:r>
        <w:rPr>
          <w:rFonts w:cs="Times New Roman"/>
        </w:rPr>
        <w:t xml:space="preserve">focused on the targeting of the newly created army and police force by militant groups and attacks. In a gesture to encourage further enrollment, the decree </w:t>
      </w:r>
      <w:r w:rsidR="00A34998">
        <w:rPr>
          <w:rFonts w:cs="Times New Roman"/>
        </w:rPr>
        <w:t xml:space="preserve">further </w:t>
      </w:r>
      <w:r>
        <w:rPr>
          <w:rFonts w:cs="Times New Roman"/>
        </w:rPr>
        <w:t xml:space="preserve">identified Iraqis who </w:t>
      </w:r>
      <w:r w:rsidRPr="00B15D74">
        <w:rPr>
          <w:rFonts w:cs="Times New Roman"/>
        </w:rPr>
        <w:t xml:space="preserve">were killed </w:t>
      </w:r>
      <w:r>
        <w:rPr>
          <w:rFonts w:cs="Times New Roman"/>
        </w:rPr>
        <w:t xml:space="preserve">while </w:t>
      </w:r>
      <w:r w:rsidR="00A34998">
        <w:rPr>
          <w:rFonts w:cs="Times New Roman"/>
        </w:rPr>
        <w:t>lining up</w:t>
      </w:r>
      <w:r>
        <w:rPr>
          <w:rFonts w:cs="Times New Roman"/>
        </w:rPr>
        <w:t xml:space="preserve"> at recruitment </w:t>
      </w:r>
      <w:r w:rsidRPr="00B15D74">
        <w:rPr>
          <w:rFonts w:cs="Times New Roman"/>
        </w:rPr>
        <w:t>centers</w:t>
      </w:r>
      <w:r w:rsidR="00A34998">
        <w:rPr>
          <w:rFonts w:cs="Times New Roman"/>
        </w:rPr>
        <w:t xml:space="preserve">, as martyrs and were entitled for compensation. The same went for those injured in daily suicide attacks that rocked Iraqi cities daily, and </w:t>
      </w:r>
      <w:r w:rsidR="001E4760">
        <w:rPr>
          <w:rFonts w:cs="Times New Roman"/>
        </w:rPr>
        <w:t>targeted</w:t>
      </w:r>
      <w:r w:rsidR="00A34998">
        <w:rPr>
          <w:rFonts w:cs="Times New Roman"/>
        </w:rPr>
        <w:t xml:space="preserve"> members of the newly formed police and military forces. </w:t>
      </w:r>
      <w:r>
        <w:rPr>
          <w:rFonts w:cs="Times New Roman"/>
        </w:rPr>
        <w:t xml:space="preserve">With no clear way to identify those who were lining up to join the force and those who were mere passersby, the government received many claims that it </w:t>
      </w:r>
      <w:r w:rsidR="00A34998">
        <w:rPr>
          <w:rFonts w:cs="Times New Roman"/>
        </w:rPr>
        <w:t>were</w:t>
      </w:r>
      <w:r>
        <w:rPr>
          <w:rFonts w:cs="Times New Roman"/>
        </w:rPr>
        <w:t xml:space="preserve"> unable to verify. </w:t>
      </w:r>
    </w:p>
    <w:p w14:paraId="438B4B11" w14:textId="77777777" w:rsidR="005C6E23" w:rsidRDefault="005C6E23" w:rsidP="00756976">
      <w:pPr>
        <w:jc w:val="both"/>
        <w:rPr>
          <w:rFonts w:cs="Times New Roman"/>
        </w:rPr>
      </w:pPr>
    </w:p>
    <w:p w14:paraId="63124B4F" w14:textId="13894F07" w:rsidR="000E3018" w:rsidRDefault="000E3018" w:rsidP="00756976">
      <w:pPr>
        <w:jc w:val="both"/>
        <w:rPr>
          <w:rFonts w:cs="Times New Roman"/>
        </w:rPr>
      </w:pPr>
      <w:r>
        <w:rPr>
          <w:rFonts w:cs="Times New Roman"/>
        </w:rPr>
        <w:t xml:space="preserve">The rise of the sectarian violence between 2005 and 2007 and the declaration of the war on terror, represented </w:t>
      </w:r>
      <w:r w:rsidR="0018751F">
        <w:rPr>
          <w:rFonts w:cs="Times New Roman"/>
        </w:rPr>
        <w:t>another</w:t>
      </w:r>
      <w:r>
        <w:rPr>
          <w:rFonts w:cs="Times New Roman"/>
        </w:rPr>
        <w:t xml:space="preserve"> turning point in the legislation of disability and compensation. On the main </w:t>
      </w:r>
      <w:r w:rsidR="001B2FA6">
        <w:rPr>
          <w:rFonts w:cs="Times New Roman"/>
        </w:rPr>
        <w:t>consequences</w:t>
      </w:r>
      <w:r>
        <w:rPr>
          <w:rFonts w:cs="Times New Roman"/>
        </w:rPr>
        <w:t xml:space="preserve"> of the </w:t>
      </w:r>
      <w:r w:rsidR="001B2FA6">
        <w:rPr>
          <w:rFonts w:cs="Times New Roman"/>
        </w:rPr>
        <w:t>compensation and legislation around victims of the “</w:t>
      </w:r>
      <w:r>
        <w:rPr>
          <w:rFonts w:cs="Times New Roman"/>
        </w:rPr>
        <w:t>war on terror</w:t>
      </w:r>
      <w:r w:rsidR="001B2FA6">
        <w:rPr>
          <w:rFonts w:cs="Times New Roman"/>
        </w:rPr>
        <w:t>”</w:t>
      </w:r>
      <w:r>
        <w:rPr>
          <w:rFonts w:cs="Times New Roman"/>
        </w:rPr>
        <w:t xml:space="preserve"> is a democratization of the claims from the military and police forces into the general population. Immediately after the start of the sectarian violence in 2005,</w:t>
      </w:r>
      <w:r w:rsidRPr="00B15D74">
        <w:rPr>
          <w:rFonts w:cs="Times New Roman"/>
        </w:rPr>
        <w:t xml:space="preserve"> the </w:t>
      </w:r>
      <w:r>
        <w:rPr>
          <w:rFonts w:cs="Times New Roman"/>
        </w:rPr>
        <w:t>Iraqi parliament voted on a new law to compensate victims of “</w:t>
      </w:r>
      <w:r w:rsidRPr="00B15D74">
        <w:rPr>
          <w:rFonts w:cs="Times New Roman"/>
        </w:rPr>
        <w:t xml:space="preserve">terrorist </w:t>
      </w:r>
      <w:r>
        <w:rPr>
          <w:rFonts w:cs="Times New Roman"/>
        </w:rPr>
        <w:t xml:space="preserve">attacks.” </w:t>
      </w:r>
      <w:r w:rsidRPr="00B15D74">
        <w:rPr>
          <w:rFonts w:cs="Times New Roman"/>
        </w:rPr>
        <w:t>The new legislation defined a terrorist act as</w:t>
      </w:r>
      <w:r>
        <w:rPr>
          <w:rFonts w:cs="Times New Roman"/>
        </w:rPr>
        <w:t>:</w:t>
      </w:r>
      <w:r w:rsidRPr="00B15D74">
        <w:rPr>
          <w:rFonts w:cs="Times New Roman"/>
        </w:rPr>
        <w:t xml:space="preserve"> “Any criminal act that comes from an individual or a number of individuals or a group that does not carry an official status, with aims of creating chaos and fear among Iraqis or the instigation of violence and injury of a citizen and leads to the martyrdom of the citizen or his affliction with a permanent disability</w:t>
      </w:r>
      <w:r>
        <w:rPr>
          <w:rFonts w:cs="Times New Roman"/>
        </w:rPr>
        <w:t>.</w:t>
      </w:r>
      <w:r w:rsidRPr="00B15D74">
        <w:rPr>
          <w:rFonts w:cs="Times New Roman"/>
        </w:rPr>
        <w:t>”</w:t>
      </w:r>
      <w:r w:rsidRPr="005207B0">
        <w:rPr>
          <w:rFonts w:cs="Times New Roman"/>
        </w:rPr>
        <w:t xml:space="preserve"> </w:t>
      </w:r>
      <w:r w:rsidRPr="00B15D74">
        <w:rPr>
          <w:rFonts w:cs="Times New Roman"/>
        </w:rPr>
        <w:t>The law regulates the compensation for the family of the martyr (</w:t>
      </w:r>
      <w:r>
        <w:rPr>
          <w:rFonts w:cs="Times New Roman"/>
        </w:rPr>
        <w:t>up to</w:t>
      </w:r>
      <w:r w:rsidRPr="00B15D74">
        <w:rPr>
          <w:rFonts w:cs="Times New Roman"/>
        </w:rPr>
        <w:t xml:space="preserve"> 2.5 million dinars) and for those who </w:t>
      </w:r>
      <w:r>
        <w:rPr>
          <w:rFonts w:cs="Times New Roman"/>
        </w:rPr>
        <w:t xml:space="preserve">are </w:t>
      </w:r>
      <w:r w:rsidRPr="00B15D74">
        <w:rPr>
          <w:rFonts w:cs="Times New Roman"/>
        </w:rPr>
        <w:t>injured, according to the percentage of their disability</w:t>
      </w:r>
      <w:r>
        <w:rPr>
          <w:rFonts w:cs="Times New Roman"/>
        </w:rPr>
        <w:t>. Civilian claimers needed to supply the government with</w:t>
      </w:r>
      <w:r w:rsidRPr="00B15D74">
        <w:rPr>
          <w:rFonts w:cs="Times New Roman"/>
        </w:rPr>
        <w:t xml:space="preserve"> police </w:t>
      </w:r>
      <w:r>
        <w:rPr>
          <w:rFonts w:cs="Times New Roman"/>
        </w:rPr>
        <w:t>and medical reports, which</w:t>
      </w:r>
      <w:r w:rsidRPr="00B15D74">
        <w:rPr>
          <w:rFonts w:cs="Times New Roman"/>
        </w:rPr>
        <w:t xml:space="preserve"> supported </w:t>
      </w:r>
      <w:r>
        <w:rPr>
          <w:rFonts w:cs="Times New Roman"/>
        </w:rPr>
        <w:t xml:space="preserve">the validity of their claims. </w:t>
      </w:r>
      <w:r w:rsidR="00470465">
        <w:rPr>
          <w:rFonts w:cs="Times New Roman"/>
        </w:rPr>
        <w:t>However, w</w:t>
      </w:r>
      <w:r>
        <w:rPr>
          <w:rFonts w:cs="Times New Roman"/>
        </w:rPr>
        <w:t xml:space="preserve">ith the spread of corruption and nepotism at all levels of government, claims for compensations ran amok. </w:t>
      </w:r>
    </w:p>
    <w:p w14:paraId="51CBA550" w14:textId="77777777" w:rsidR="005C6E23" w:rsidRDefault="005C6E23" w:rsidP="00756976">
      <w:pPr>
        <w:jc w:val="both"/>
        <w:rPr>
          <w:rFonts w:cs="Times New Roman"/>
        </w:rPr>
      </w:pPr>
    </w:p>
    <w:p w14:paraId="287DCD02" w14:textId="56CB26B9" w:rsidR="009D339B" w:rsidRPr="00A44C7F" w:rsidRDefault="000E3018" w:rsidP="00756976">
      <w:pPr>
        <w:jc w:val="both"/>
      </w:pPr>
      <w:r w:rsidRPr="00B15D74">
        <w:rPr>
          <w:rFonts w:cs="Times New Roman"/>
        </w:rPr>
        <w:t xml:space="preserve">In 2006 and with the confusions of the surge of claims on the government, the office of the prime minister established an independent foundation that is titled “The Martyrs foundation” which aims to </w:t>
      </w:r>
      <w:r>
        <w:rPr>
          <w:rFonts w:cs="Times New Roman"/>
        </w:rPr>
        <w:t>take charge of the compensation schemes under the oversight of the Prime Minister’s office. While aiming to “limit” the corruptio</w:t>
      </w:r>
      <w:r w:rsidR="00103318">
        <w:rPr>
          <w:rFonts w:cs="Times New Roman"/>
        </w:rPr>
        <w:t>n in the different ministries, t</w:t>
      </w:r>
      <w:r w:rsidR="00095DC6">
        <w:rPr>
          <w:rFonts w:cs="Times New Roman"/>
        </w:rPr>
        <w:t>he role of the Martyrs F</w:t>
      </w:r>
      <w:r>
        <w:rPr>
          <w:rFonts w:cs="Times New Roman"/>
        </w:rPr>
        <w:t>oundation aimed</w:t>
      </w:r>
      <w:r w:rsidRPr="00B15D74">
        <w:rPr>
          <w:rFonts w:cs="Times New Roman"/>
        </w:rPr>
        <w:t xml:space="preserve"> “to define who are the martyrs, provide privileges to those who are included in this law, provide priority of work and economic and social facilitation, and to glorify the meanings of martyrdom, sacrifice and their value in society and its externalization in cultural and political activities in the domains of culture, arts and the all forms of media.” </w:t>
      </w:r>
      <w:r>
        <w:rPr>
          <w:rFonts w:cs="Times New Roman"/>
        </w:rPr>
        <w:t>The new law did not</w:t>
      </w:r>
      <w:r w:rsidR="00095DC6">
        <w:rPr>
          <w:rFonts w:cs="Times New Roman"/>
        </w:rPr>
        <w:t xml:space="preserve"> only address the victims</w:t>
      </w:r>
      <w:r>
        <w:rPr>
          <w:rFonts w:cs="Times New Roman"/>
        </w:rPr>
        <w:t xml:space="preserve"> of terrorism in the present, but expanded the definition to include retrospective claims for compensations from</w:t>
      </w:r>
      <w:r w:rsidR="00095DC6">
        <w:rPr>
          <w:rFonts w:cs="Times New Roman"/>
        </w:rPr>
        <w:t xml:space="preserve"> the actions of the previous ba‘</w:t>
      </w:r>
      <w:r>
        <w:rPr>
          <w:rFonts w:cs="Times New Roman"/>
        </w:rPr>
        <w:t xml:space="preserve">thist regime. </w:t>
      </w:r>
      <w:r w:rsidRPr="00B15D74">
        <w:rPr>
          <w:rFonts w:cs="Times New Roman"/>
        </w:rPr>
        <w:t>The legislation define</w:t>
      </w:r>
      <w:r>
        <w:rPr>
          <w:rFonts w:cs="Times New Roman"/>
        </w:rPr>
        <w:t>d the martyr as “</w:t>
      </w:r>
      <w:r w:rsidRPr="00B15D74">
        <w:rPr>
          <w:rFonts w:cs="Times New Roman"/>
        </w:rPr>
        <w:t xml:space="preserve">Every Iraqi citizen who lost his/her life due to opposition to </w:t>
      </w:r>
      <w:r w:rsidR="00CD113D">
        <w:rPr>
          <w:rFonts w:cs="Times New Roman"/>
        </w:rPr>
        <w:t>the demised regime, in opinion,</w:t>
      </w:r>
      <w:r w:rsidRPr="00B15D74">
        <w:rPr>
          <w:rFonts w:cs="Times New Roman"/>
        </w:rPr>
        <w:t xml:space="preserve"> belief, political belonging,  or sympathizing with its opponents or helping them, through an act of the regime directly caused death, or because of imprisonment, torture, or due to ethnic cleansing, use of chemical weapons, crimes against humanity, assignation, or forced migration.” </w:t>
      </w:r>
      <w:r>
        <w:rPr>
          <w:rFonts w:cs="Times New Roman"/>
        </w:rPr>
        <w:t>While attempting to include a broad and vague notion of affliction, t</w:t>
      </w:r>
      <w:r w:rsidRPr="00B15D74">
        <w:rPr>
          <w:rFonts w:cs="Times New Roman"/>
        </w:rPr>
        <w:t xml:space="preserve">he legislation goes </w:t>
      </w:r>
      <w:r>
        <w:rPr>
          <w:rFonts w:cs="Times New Roman"/>
        </w:rPr>
        <w:t>further</w:t>
      </w:r>
      <w:r w:rsidRPr="00B15D74">
        <w:rPr>
          <w:rFonts w:cs="Times New Roman"/>
        </w:rPr>
        <w:t xml:space="preserve"> to </w:t>
      </w:r>
      <w:r>
        <w:rPr>
          <w:rFonts w:cs="Times New Roman"/>
        </w:rPr>
        <w:t>identify those who were excluded from this law. The law states clearly that a person is NOT a martyr</w:t>
      </w:r>
      <w:r w:rsidRPr="00B15D74">
        <w:rPr>
          <w:rFonts w:cs="Times New Roman"/>
        </w:rPr>
        <w:t xml:space="preserve">: “that is </w:t>
      </w:r>
      <w:r w:rsidRPr="00B15D74">
        <w:rPr>
          <w:rFonts w:eastAsia="Times New Roman" w:cs="Times New Roman"/>
          <w:color w:val="000000"/>
        </w:rPr>
        <w:t xml:space="preserve">any person who worked in the various institutions of the demised regime, or from Baathists or supporters, and was killed by the regime because of internal power liquidation.” </w:t>
      </w:r>
      <w:r w:rsidRPr="00B15D74">
        <w:t>The decree covers claims in retrospect from the pe</w:t>
      </w:r>
      <w:r>
        <w:t xml:space="preserve">riod of 17/7/1968 to 19/3/2003 </w:t>
      </w:r>
      <w:r w:rsidRPr="00B15D74">
        <w:t xml:space="preserve">the </w:t>
      </w:r>
      <w:r>
        <w:t xml:space="preserve">period of the </w:t>
      </w:r>
      <w:r w:rsidRPr="00B15D74">
        <w:t>rule of the Baath party.</w:t>
      </w:r>
      <w:r>
        <w:t xml:space="preserve"> Once again, </w:t>
      </w:r>
      <w:r w:rsidRPr="00B15D74">
        <w:t xml:space="preserve">Compensation amounts proportional to their disability. Among the privileges granted to people covered by this law, along with guarantees of health coverage </w:t>
      </w:r>
      <w:r w:rsidRPr="00550D2D">
        <w:t>inside and outside Iraq. With the increasing military operation of the occupation and the Iraqi military and the increasing number of “collateral damage</w:t>
      </w:r>
      <w:r>
        <w:t>,</w:t>
      </w:r>
      <w:r w:rsidRPr="00550D2D">
        <w:t xml:space="preserve">” the government expanded the definition of affliction and disability to include those who are affected by military operations, friendly fire (or military mistakes), in addition to terrorist operations. </w:t>
      </w:r>
    </w:p>
    <w:p w14:paraId="12E03660" w14:textId="77777777" w:rsidR="007F7B29" w:rsidRDefault="007F7B29" w:rsidP="00756976">
      <w:pPr>
        <w:jc w:val="both"/>
      </w:pPr>
    </w:p>
    <w:p w14:paraId="3E92B5C6" w14:textId="1D544FEA" w:rsidR="007F7B29" w:rsidRDefault="007F7B29" w:rsidP="00756976">
      <w:pPr>
        <w:jc w:val="both"/>
      </w:pPr>
      <w:r>
        <w:t xml:space="preserve">CONCLUSION </w:t>
      </w:r>
    </w:p>
    <w:p w14:paraId="2DD59BB1" w14:textId="77777777" w:rsidR="001736C0" w:rsidRDefault="001736C0" w:rsidP="00756976">
      <w:pPr>
        <w:jc w:val="both"/>
      </w:pPr>
      <w:r>
        <w:t xml:space="preserve">The continuous shifting political value of war injury in Iraq is complex and dynamic. With the changing nature of war and political projects, one can see how certain wounds become imbued with meaning and value, while others lose their privilege—as the present day case of the Iran-Iraq war veterans. In fact with the coming to power of a government more sympathetic with the Iranian republic, the value of such wounds have become more questionable. </w:t>
      </w:r>
    </w:p>
    <w:p w14:paraId="7448F46B" w14:textId="77777777" w:rsidR="001736C0" w:rsidRDefault="001736C0" w:rsidP="00756976">
      <w:pPr>
        <w:widowControl w:val="0"/>
        <w:autoSpaceDE w:val="0"/>
        <w:autoSpaceDN w:val="0"/>
        <w:adjustRightInd w:val="0"/>
        <w:jc w:val="both"/>
        <w:rPr>
          <w:rFonts w:cs="Helvetica"/>
          <w:color w:val="000000"/>
        </w:rPr>
      </w:pPr>
    </w:p>
    <w:p w14:paraId="72B891D8" w14:textId="68F0B675" w:rsidR="008E4B3E" w:rsidRDefault="008E4B3E" w:rsidP="00756976">
      <w:pPr>
        <w:widowControl w:val="0"/>
        <w:autoSpaceDE w:val="0"/>
        <w:autoSpaceDN w:val="0"/>
        <w:adjustRightInd w:val="0"/>
        <w:jc w:val="both"/>
        <w:rPr>
          <w:rFonts w:cs="Times New Roman"/>
        </w:rPr>
      </w:pPr>
      <w:r w:rsidRPr="00B15D74">
        <w:rPr>
          <w:rFonts w:cs="Helvetica"/>
          <w:color w:val="000000"/>
        </w:rPr>
        <w:t xml:space="preserve">In this </w:t>
      </w:r>
      <w:r>
        <w:rPr>
          <w:rFonts w:cs="Helvetica"/>
          <w:color w:val="000000"/>
        </w:rPr>
        <w:t>essay</w:t>
      </w:r>
      <w:r w:rsidRPr="00B15D74">
        <w:rPr>
          <w:rFonts w:cs="Helvetica"/>
          <w:color w:val="000000"/>
        </w:rPr>
        <w:t xml:space="preserve"> I tried to sketch some of the problems emerging in Iraq in relation to the history and definitions of war injuries. I showed that government policies in Iraq have constantly shifted the meaning and practices of defining notions of </w:t>
      </w:r>
      <w:r>
        <w:rPr>
          <w:rFonts w:cs="Helvetica"/>
          <w:color w:val="000000"/>
        </w:rPr>
        <w:t xml:space="preserve">war </w:t>
      </w:r>
      <w:r w:rsidRPr="00B15D74">
        <w:rPr>
          <w:rFonts w:cs="Helvetica"/>
          <w:color w:val="000000"/>
        </w:rPr>
        <w:t xml:space="preserve">injury and thus the responsibility of the state to such population. In defining and triaging injuries and death within these publically contested logics of war injuries, these policies have marginalized segments of the population that has suffered for decades the effects of war, violence and political instability. </w:t>
      </w:r>
      <w:r w:rsidRPr="00B15D74">
        <w:rPr>
          <w:rFonts w:cs="Times New Roman"/>
        </w:rPr>
        <w:t xml:space="preserve">The production of massive documentation of afflicted population, medical committee that decides on the percentage of injury, the negotiation of bribes and corruption, political nepotism and the definition of this triage along certain claims of victimhood, ethno sectarian lines are all important processes to begin to understand </w:t>
      </w:r>
      <w:r w:rsidR="00D85661">
        <w:rPr>
          <w:rFonts w:cs="Times New Roman"/>
        </w:rPr>
        <w:t xml:space="preserve">wounded </w:t>
      </w:r>
      <w:r>
        <w:rPr>
          <w:rFonts w:cs="Times New Roman"/>
        </w:rPr>
        <w:t>citizenship in Iraq</w:t>
      </w:r>
      <w:r w:rsidRPr="00B15D74">
        <w:rPr>
          <w:rFonts w:cs="Times New Roman"/>
        </w:rPr>
        <w:t xml:space="preserve">. For </w:t>
      </w:r>
      <w:r w:rsidR="009D339B">
        <w:rPr>
          <w:rFonts w:cs="Times New Roman"/>
        </w:rPr>
        <w:t xml:space="preserve">the </w:t>
      </w:r>
      <w:r w:rsidRPr="00B15D74">
        <w:rPr>
          <w:rFonts w:cs="Times New Roman"/>
        </w:rPr>
        <w:t xml:space="preserve">anthropologist, it its important to </w:t>
      </w:r>
      <w:r w:rsidR="00196DB5">
        <w:rPr>
          <w:rFonts w:cs="Times New Roman"/>
        </w:rPr>
        <w:t xml:space="preserve">further </w:t>
      </w:r>
      <w:r w:rsidRPr="00B15D74">
        <w:rPr>
          <w:rFonts w:cs="Times New Roman"/>
        </w:rPr>
        <w:t xml:space="preserve">understand how these policies </w:t>
      </w:r>
      <w:r w:rsidR="00196DB5">
        <w:rPr>
          <w:rFonts w:cs="Times New Roman"/>
        </w:rPr>
        <w:t xml:space="preserve">metabolize in everyday life- an analysis that goes beyond the </w:t>
      </w:r>
      <w:r w:rsidR="009D339B">
        <w:rPr>
          <w:rFonts w:cs="Times New Roman"/>
        </w:rPr>
        <w:t xml:space="preserve">scope of this essay. </w:t>
      </w:r>
    </w:p>
    <w:p w14:paraId="41D5B878" w14:textId="77777777" w:rsidR="008E4B3E" w:rsidRDefault="008E4B3E" w:rsidP="00756976">
      <w:pPr>
        <w:jc w:val="both"/>
      </w:pPr>
    </w:p>
    <w:p w14:paraId="7A7B9A8C" w14:textId="77777777" w:rsidR="009D339B" w:rsidRDefault="009D339B" w:rsidP="00756976">
      <w:pPr>
        <w:jc w:val="both"/>
      </w:pPr>
    </w:p>
    <w:p w14:paraId="3BC18280" w14:textId="54D0A120" w:rsidR="00D31D67" w:rsidRDefault="00D31D67" w:rsidP="00756976">
      <w:pPr>
        <w:jc w:val="both"/>
      </w:pPr>
      <w:r>
        <w:t>R</w:t>
      </w:r>
      <w:r w:rsidR="00BF3F03">
        <w:t xml:space="preserve">EFERENCES </w:t>
      </w:r>
    </w:p>
    <w:p w14:paraId="65AC38AD" w14:textId="77777777" w:rsidR="001C647A" w:rsidRPr="001C647A" w:rsidRDefault="001C647A" w:rsidP="00756976">
      <w:pPr>
        <w:pStyle w:val="Bibliography"/>
        <w:jc w:val="both"/>
        <w:rPr>
          <w:rFonts w:ascii="Cambria"/>
        </w:rPr>
      </w:pPr>
      <w:r>
        <w:fldChar w:fldCharType="begin"/>
      </w:r>
      <w:r>
        <w:instrText xml:space="preserve"> ADDIN ZOTERO_BIBL {"custom":[]} CSL_BIBLIOGRAPHY </w:instrText>
      </w:r>
      <w:r>
        <w:fldChar w:fldCharType="separate"/>
      </w:r>
      <w:r w:rsidRPr="001C647A">
        <w:rPr>
          <w:rFonts w:ascii="Cambria"/>
        </w:rPr>
        <w:t xml:space="preserve">Das, Veena, and Deborah Poole. 2004. </w:t>
      </w:r>
      <w:r w:rsidRPr="001C647A">
        <w:rPr>
          <w:rFonts w:ascii="Cambria"/>
          <w:i/>
          <w:iCs/>
        </w:rPr>
        <w:t>Anthropology in the Margins of the State</w:t>
      </w:r>
      <w:r w:rsidRPr="001C647A">
        <w:rPr>
          <w:rFonts w:ascii="Cambria"/>
        </w:rPr>
        <w:t>. School of American Research Press.</w:t>
      </w:r>
    </w:p>
    <w:p w14:paraId="1B0731B9" w14:textId="77777777" w:rsidR="001C647A" w:rsidRPr="001C647A" w:rsidRDefault="001C647A" w:rsidP="00756976">
      <w:pPr>
        <w:pStyle w:val="Bibliography"/>
        <w:jc w:val="both"/>
        <w:rPr>
          <w:rFonts w:ascii="Cambria"/>
        </w:rPr>
      </w:pPr>
      <w:r w:rsidRPr="001C647A">
        <w:rPr>
          <w:rFonts w:ascii="Cambria"/>
        </w:rPr>
        <w:t xml:space="preserve">Faist, Thomas. 2000. “Transnationalization in International Migration: Implications for the Study of Citizenship and Culture.” </w:t>
      </w:r>
      <w:r w:rsidRPr="001C647A">
        <w:rPr>
          <w:rFonts w:ascii="Cambria"/>
          <w:i/>
          <w:iCs/>
        </w:rPr>
        <w:t>Ethnic and Racial Studies</w:t>
      </w:r>
      <w:r w:rsidRPr="001C647A">
        <w:rPr>
          <w:rFonts w:ascii="Cambria"/>
        </w:rPr>
        <w:t xml:space="preserve"> 23 (2): 189–222.</w:t>
      </w:r>
    </w:p>
    <w:p w14:paraId="7E0B36C2" w14:textId="77777777" w:rsidR="001C647A" w:rsidRPr="001C647A" w:rsidRDefault="001C647A" w:rsidP="00756976">
      <w:pPr>
        <w:pStyle w:val="Bibliography"/>
        <w:jc w:val="both"/>
        <w:rPr>
          <w:rFonts w:ascii="Cambria"/>
        </w:rPr>
      </w:pPr>
      <w:r w:rsidRPr="001C647A">
        <w:rPr>
          <w:rFonts w:ascii="Cambria"/>
        </w:rPr>
        <w:t xml:space="preserve">Foucault, Michel. 2003. </w:t>
      </w:r>
      <w:r w:rsidRPr="001C647A">
        <w:rPr>
          <w:rFonts w:ascii="Cambria"/>
          <w:i/>
          <w:iCs/>
        </w:rPr>
        <w:t>“Society Must Be Defended”: Lectures at the Collège de France, 1975-1976</w:t>
      </w:r>
      <w:r w:rsidRPr="001C647A">
        <w:rPr>
          <w:rFonts w:ascii="Cambria"/>
        </w:rPr>
        <w:t>. Translated by David Macey. Reprint. Picador.</w:t>
      </w:r>
    </w:p>
    <w:p w14:paraId="0F40A54B" w14:textId="77777777" w:rsidR="001C647A" w:rsidRPr="001C647A" w:rsidRDefault="001C647A" w:rsidP="00756976">
      <w:pPr>
        <w:pStyle w:val="Bibliography"/>
        <w:jc w:val="both"/>
        <w:rPr>
          <w:rFonts w:ascii="Cambria"/>
        </w:rPr>
      </w:pPr>
      <w:r w:rsidRPr="001C647A">
        <w:rPr>
          <w:rFonts w:ascii="Cambria"/>
        </w:rPr>
        <w:t xml:space="preserve">Hansen, Thomas Blom, and Finn Stepputat. 2005. </w:t>
      </w:r>
      <w:r w:rsidRPr="001C647A">
        <w:rPr>
          <w:rFonts w:ascii="Cambria"/>
          <w:i/>
          <w:iCs/>
        </w:rPr>
        <w:t>Sovereign Bodies: Citizens, Migrants, and States in the Postcolonial World</w:t>
      </w:r>
      <w:r w:rsidRPr="001C647A">
        <w:rPr>
          <w:rFonts w:ascii="Cambria"/>
        </w:rPr>
        <w:t>. Princeton; Oxford: Princeton University Press.</w:t>
      </w:r>
    </w:p>
    <w:p w14:paraId="3E11E89E" w14:textId="77777777" w:rsidR="001C647A" w:rsidRPr="001C647A" w:rsidRDefault="001C647A" w:rsidP="00756976">
      <w:pPr>
        <w:pStyle w:val="Bibliography"/>
        <w:jc w:val="both"/>
        <w:rPr>
          <w:rFonts w:ascii="Cambria"/>
        </w:rPr>
      </w:pPr>
      <w:r w:rsidRPr="001C647A">
        <w:rPr>
          <w:rFonts w:ascii="Cambria"/>
        </w:rPr>
        <w:t xml:space="preserve">Nguyen, Vinh-Kim. 2005. “Antiretroviral Globalism, Biopolitics &amp; Therapeutic Citizenship.” In </w:t>
      </w:r>
      <w:r w:rsidRPr="001C647A">
        <w:rPr>
          <w:rFonts w:ascii="Cambria"/>
          <w:i/>
          <w:iCs/>
        </w:rPr>
        <w:t>Global Assemblages: Technology, Politics, and Ethics as Anthropological Problems</w:t>
      </w:r>
      <w:r w:rsidRPr="001C647A">
        <w:rPr>
          <w:rFonts w:ascii="Cambria"/>
        </w:rPr>
        <w:t>, edited by Aihwa Ong and Stephen J. Collier. Malden: Blackwell Publishing.</w:t>
      </w:r>
    </w:p>
    <w:p w14:paraId="5015BBFB" w14:textId="77777777" w:rsidR="001C647A" w:rsidRPr="001C647A" w:rsidRDefault="001C647A" w:rsidP="00756976">
      <w:pPr>
        <w:pStyle w:val="Bibliography"/>
        <w:jc w:val="both"/>
        <w:rPr>
          <w:rFonts w:ascii="Cambria"/>
        </w:rPr>
      </w:pPr>
      <w:r w:rsidRPr="001C647A">
        <w:rPr>
          <w:rFonts w:ascii="Cambria"/>
        </w:rPr>
        <w:t>———. 2008. The Republic of Therapy: War, Neoliberalism, and Citizenship in a West African Epidemic (Manuscript).</w:t>
      </w:r>
    </w:p>
    <w:p w14:paraId="6CD96A11" w14:textId="77777777" w:rsidR="001C647A" w:rsidRPr="001C647A" w:rsidRDefault="001C647A" w:rsidP="00756976">
      <w:pPr>
        <w:pStyle w:val="Bibliography"/>
        <w:jc w:val="both"/>
        <w:rPr>
          <w:rFonts w:ascii="Cambria"/>
        </w:rPr>
      </w:pPr>
      <w:r w:rsidRPr="001C647A">
        <w:rPr>
          <w:rFonts w:ascii="Cambria"/>
        </w:rPr>
        <w:t xml:space="preserve">Ong, Aihwa. 1999. </w:t>
      </w:r>
      <w:r w:rsidRPr="001C647A">
        <w:rPr>
          <w:rFonts w:ascii="Cambria"/>
          <w:i/>
          <w:iCs/>
        </w:rPr>
        <w:t>Flexible Citizenship: The Cultural Logics of Transnationality</w:t>
      </w:r>
      <w:r w:rsidRPr="001C647A">
        <w:rPr>
          <w:rFonts w:ascii="Cambria"/>
        </w:rPr>
        <w:t>. Durham, N.C.: Duke University Press.</w:t>
      </w:r>
    </w:p>
    <w:p w14:paraId="6BC6FEDE" w14:textId="77777777" w:rsidR="001C647A" w:rsidRPr="001C647A" w:rsidRDefault="001C647A" w:rsidP="00756976">
      <w:pPr>
        <w:pStyle w:val="Bibliography"/>
        <w:jc w:val="both"/>
        <w:rPr>
          <w:rFonts w:ascii="Cambria"/>
        </w:rPr>
      </w:pPr>
      <w:r w:rsidRPr="001C647A">
        <w:rPr>
          <w:rFonts w:ascii="Cambria"/>
        </w:rPr>
        <w:t xml:space="preserve">———. 2006. </w:t>
      </w:r>
      <w:r w:rsidRPr="001C647A">
        <w:rPr>
          <w:rFonts w:ascii="Cambria"/>
          <w:i/>
          <w:iCs/>
        </w:rPr>
        <w:t>Neoliberalism as Exception : Mutations in Citizenship and Sovereignty</w:t>
      </w:r>
      <w:r w:rsidRPr="001C647A">
        <w:rPr>
          <w:rFonts w:ascii="Cambria"/>
        </w:rPr>
        <w:t>. Durham [N.C.]: Duke University Press. http://www.loc.gov/catdir/toc/ecip065/2005036015.html.</w:t>
      </w:r>
    </w:p>
    <w:p w14:paraId="4C2C6BAE" w14:textId="77777777" w:rsidR="001C647A" w:rsidRPr="001C647A" w:rsidRDefault="001C647A" w:rsidP="00756976">
      <w:pPr>
        <w:pStyle w:val="Bibliography"/>
        <w:jc w:val="both"/>
        <w:rPr>
          <w:rFonts w:ascii="Cambria"/>
        </w:rPr>
      </w:pPr>
      <w:r w:rsidRPr="001C647A">
        <w:rPr>
          <w:rFonts w:ascii="Cambria"/>
        </w:rPr>
        <w:t xml:space="preserve">Petryna, Adriana. 2002. </w:t>
      </w:r>
      <w:r w:rsidRPr="001C647A">
        <w:rPr>
          <w:rFonts w:ascii="Cambria"/>
          <w:i/>
          <w:iCs/>
        </w:rPr>
        <w:t>Life Exposed : Biological Citizens after Chernobyl</w:t>
      </w:r>
      <w:r w:rsidRPr="001C647A">
        <w:rPr>
          <w:rFonts w:ascii="Cambria"/>
        </w:rPr>
        <w:t>. In-Formation Series. Princeton: Princeton University Press. http://www.loc.gov/catdir/toc/prin032/2002016948.html http://www.loc.gov/catdir/description/prin022/2002016948.html.</w:t>
      </w:r>
    </w:p>
    <w:p w14:paraId="2457BBE9" w14:textId="256AFB1C" w:rsidR="00BF3F03" w:rsidRDefault="001C647A" w:rsidP="00756976">
      <w:pPr>
        <w:jc w:val="both"/>
      </w:pPr>
      <w:r>
        <w:fldChar w:fldCharType="end"/>
      </w:r>
    </w:p>
    <w:p w14:paraId="72E4E531" w14:textId="77777777" w:rsidR="009D339B" w:rsidRDefault="009D339B" w:rsidP="00756976">
      <w:pPr>
        <w:jc w:val="both"/>
      </w:pPr>
    </w:p>
    <w:p w14:paraId="7ED12CFA" w14:textId="77777777" w:rsidR="00D72CD9" w:rsidRDefault="00D72CD9" w:rsidP="00756976">
      <w:pPr>
        <w:jc w:val="both"/>
      </w:pPr>
    </w:p>
    <w:p w14:paraId="3D0FF1EA" w14:textId="77777777" w:rsidR="00272431" w:rsidRDefault="00272431" w:rsidP="00756976">
      <w:pPr>
        <w:jc w:val="both"/>
        <w:rPr>
          <w:rFonts w:ascii="Verdana" w:eastAsia="Times New Roman" w:hAnsi="Verdana" w:cs="Times New Roman"/>
          <w:color w:val="000000"/>
          <w:sz w:val="20"/>
          <w:szCs w:val="20"/>
        </w:rPr>
      </w:pPr>
    </w:p>
    <w:p w14:paraId="27C0620B" w14:textId="77777777" w:rsidR="00272431" w:rsidRDefault="00272431" w:rsidP="00756976">
      <w:pPr>
        <w:jc w:val="both"/>
        <w:rPr>
          <w:rFonts w:ascii="Verdana" w:eastAsia="Times New Roman" w:hAnsi="Verdana" w:cs="Times New Roman"/>
          <w:color w:val="000000"/>
          <w:sz w:val="20"/>
          <w:szCs w:val="20"/>
        </w:rPr>
      </w:pPr>
    </w:p>
    <w:p w14:paraId="0AA0274A" w14:textId="77777777" w:rsidR="00272431" w:rsidRPr="00756976" w:rsidRDefault="00272431" w:rsidP="00756976">
      <w:pPr>
        <w:rPr>
          <w:rFonts w:ascii="Times" w:eastAsia="Times New Roman" w:hAnsi="Times" w:cs="Times New Roman"/>
          <w:b/>
          <w:sz w:val="20"/>
          <w:szCs w:val="20"/>
        </w:rPr>
      </w:pPr>
      <w:r w:rsidRPr="00756976">
        <w:rPr>
          <w:rFonts w:ascii="Verdana" w:eastAsia="Times New Roman" w:hAnsi="Verdana" w:cs="Times New Roman"/>
          <w:b/>
          <w:color w:val="000000"/>
          <w:sz w:val="20"/>
          <w:szCs w:val="20"/>
        </w:rPr>
        <w:t>Omar Dewachi, MBChB, PhD</w:t>
      </w:r>
      <w:r w:rsidRPr="00756976">
        <w:rPr>
          <w:rFonts w:ascii="Verdana" w:eastAsia="Times New Roman" w:hAnsi="Verdana" w:cs="Times New Roman"/>
          <w:b/>
          <w:color w:val="000000"/>
          <w:sz w:val="20"/>
          <w:szCs w:val="20"/>
        </w:rPr>
        <w:br/>
        <w:t>Assistant Professor of Medical Anthropology and Global Health </w:t>
      </w:r>
      <w:r w:rsidRPr="00756976">
        <w:rPr>
          <w:rFonts w:ascii="Verdana" w:eastAsia="Times New Roman" w:hAnsi="Verdana" w:cs="Times New Roman"/>
          <w:b/>
          <w:color w:val="000000"/>
          <w:sz w:val="20"/>
          <w:szCs w:val="20"/>
        </w:rPr>
        <w:br/>
        <w:t>co-Director, Conflict Medicine Program</w:t>
      </w:r>
      <w:r w:rsidRPr="00756976">
        <w:rPr>
          <w:rFonts w:ascii="Verdana" w:eastAsia="Times New Roman" w:hAnsi="Verdana" w:cs="Times New Roman"/>
          <w:b/>
          <w:color w:val="000000"/>
          <w:sz w:val="20"/>
          <w:szCs w:val="20"/>
        </w:rPr>
        <w:br/>
      </w:r>
      <w:r w:rsidRPr="00756976">
        <w:rPr>
          <w:rFonts w:ascii="Verdana" w:eastAsia="Times New Roman" w:hAnsi="Verdana" w:cs="Times New Roman"/>
          <w:b/>
          <w:color w:val="000000"/>
          <w:sz w:val="20"/>
          <w:szCs w:val="20"/>
        </w:rPr>
        <w:br/>
        <w:t>American University of Beirut</w:t>
      </w:r>
      <w:r w:rsidRPr="00756976">
        <w:rPr>
          <w:rFonts w:ascii="Verdana" w:eastAsia="Times New Roman" w:hAnsi="Verdana" w:cs="Times New Roman"/>
          <w:b/>
          <w:color w:val="000000"/>
          <w:sz w:val="20"/>
          <w:szCs w:val="20"/>
        </w:rPr>
        <w:br/>
        <w:t>Department of Epidemiology and Population Health</w:t>
      </w:r>
      <w:r w:rsidRPr="00756976">
        <w:rPr>
          <w:rFonts w:ascii="Verdana" w:eastAsia="Times New Roman" w:hAnsi="Verdana" w:cs="Times New Roman"/>
          <w:b/>
          <w:color w:val="000000"/>
          <w:sz w:val="20"/>
          <w:szCs w:val="20"/>
        </w:rPr>
        <w:br/>
        <w:t>Faculty of Health Sciences</w:t>
      </w:r>
      <w:r w:rsidRPr="00756976">
        <w:rPr>
          <w:rFonts w:ascii="Verdana" w:eastAsia="Times New Roman" w:hAnsi="Verdana" w:cs="Times New Roman"/>
          <w:b/>
          <w:color w:val="000000"/>
          <w:sz w:val="20"/>
          <w:szCs w:val="20"/>
        </w:rPr>
        <w:br/>
      </w:r>
      <w:r w:rsidRPr="00756976">
        <w:rPr>
          <w:rFonts w:ascii="Verdana" w:eastAsia="Times New Roman" w:hAnsi="Verdana" w:cs="Times New Roman"/>
          <w:b/>
          <w:color w:val="000000"/>
          <w:sz w:val="20"/>
          <w:szCs w:val="20"/>
        </w:rPr>
        <w:br/>
        <w:t>Tel.: +961-(0)1-350-000 x4677</w:t>
      </w:r>
      <w:r w:rsidRPr="00756976">
        <w:rPr>
          <w:rFonts w:ascii="Verdana" w:eastAsia="Times New Roman" w:hAnsi="Verdana" w:cs="Times New Roman"/>
          <w:b/>
          <w:color w:val="000000"/>
          <w:sz w:val="20"/>
          <w:szCs w:val="20"/>
        </w:rPr>
        <w:br/>
        <w:t>Fax: +961-(0)1-744-470</w:t>
      </w:r>
      <w:r w:rsidRPr="00756976">
        <w:rPr>
          <w:rFonts w:ascii="Verdana" w:eastAsia="Times New Roman" w:hAnsi="Verdana" w:cs="Times New Roman"/>
          <w:b/>
          <w:color w:val="000000"/>
          <w:sz w:val="20"/>
          <w:szCs w:val="20"/>
        </w:rPr>
        <w:br/>
        <w:t>Email: </w:t>
      </w:r>
      <w:hyperlink r:id="rId8" w:history="1">
        <w:r w:rsidRPr="00756976">
          <w:rPr>
            <w:rFonts w:ascii="Verdana" w:eastAsia="Times New Roman" w:hAnsi="Verdana" w:cs="Times New Roman"/>
            <w:b/>
            <w:color w:val="0000FF"/>
            <w:sz w:val="20"/>
            <w:szCs w:val="20"/>
            <w:u w:val="single"/>
          </w:rPr>
          <w:t>omar.dewachi@aub.edu.lb</w:t>
        </w:r>
      </w:hyperlink>
      <w:r w:rsidRPr="00756976">
        <w:rPr>
          <w:rFonts w:ascii="Verdana" w:eastAsia="Times New Roman" w:hAnsi="Verdana" w:cs="Times New Roman"/>
          <w:b/>
          <w:color w:val="000000"/>
          <w:sz w:val="20"/>
          <w:szCs w:val="20"/>
        </w:rPr>
        <w:br/>
        <w:t>Website: </w:t>
      </w:r>
      <w:hyperlink r:id="rId9" w:history="1">
        <w:r w:rsidRPr="00756976">
          <w:rPr>
            <w:rFonts w:ascii="Verdana" w:eastAsia="Times New Roman" w:hAnsi="Verdana" w:cs="Times New Roman"/>
            <w:b/>
            <w:color w:val="0000FF"/>
            <w:sz w:val="20"/>
            <w:szCs w:val="20"/>
            <w:u w:val="single"/>
          </w:rPr>
          <w:t>http://fhs.aub.edu.lb</w:t>
        </w:r>
      </w:hyperlink>
    </w:p>
    <w:p w14:paraId="0545C0D2" w14:textId="77777777" w:rsidR="00A850AC" w:rsidRPr="00756976" w:rsidRDefault="00A850AC" w:rsidP="00756976">
      <w:pPr>
        <w:jc w:val="both"/>
        <w:rPr>
          <w:b/>
        </w:rPr>
      </w:pPr>
    </w:p>
    <w:p w14:paraId="1863A12A" w14:textId="77777777" w:rsidR="00CF02CB" w:rsidRDefault="00CF02CB" w:rsidP="00756976">
      <w:pPr>
        <w:jc w:val="both"/>
      </w:pPr>
    </w:p>
    <w:p w14:paraId="6C72BE34" w14:textId="6D4437BF" w:rsidR="00C57776" w:rsidRPr="00C57776" w:rsidRDefault="00C57776" w:rsidP="00C57776">
      <w:pPr>
        <w:jc w:val="both"/>
      </w:pPr>
      <w:r w:rsidRPr="00C57776">
        <w:t>Wounded</w:t>
      </w:r>
      <w:r>
        <w:t xml:space="preserve"> C</w:t>
      </w:r>
      <w:r w:rsidRPr="00C57776">
        <w:t xml:space="preserve">itizenship </w:t>
      </w:r>
      <w:r w:rsidRPr="00C57776">
        <w:t xml:space="preserve">- </w:t>
      </w:r>
      <w:r w:rsidRPr="00C57776">
        <w:t>Omar Dewachi</w:t>
      </w:r>
    </w:p>
    <w:p w14:paraId="6A1BBB62" w14:textId="77777777" w:rsidR="00A850AC" w:rsidRPr="002F6F27" w:rsidRDefault="00A850AC" w:rsidP="00756976">
      <w:pPr>
        <w:jc w:val="both"/>
      </w:pPr>
    </w:p>
    <w:sectPr w:rsidR="00A850AC" w:rsidRPr="002F6F27" w:rsidSect="00722BD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752B" w14:textId="77777777" w:rsidR="00196DB5" w:rsidRDefault="00196DB5" w:rsidP="00CF02CB">
      <w:r>
        <w:separator/>
      </w:r>
    </w:p>
  </w:endnote>
  <w:endnote w:type="continuationSeparator" w:id="0">
    <w:p w14:paraId="11109802" w14:textId="77777777" w:rsidR="00196DB5" w:rsidRDefault="00196DB5"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E740" w14:textId="77777777" w:rsidR="00FC0A74" w:rsidRDefault="00FC0A74" w:rsidP="00C25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8012D" w14:textId="77777777" w:rsidR="00FC0A74" w:rsidRDefault="00FC0A74" w:rsidP="00FC0A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3FD3" w14:textId="77777777" w:rsidR="00FC0A74" w:rsidRDefault="00FC0A74" w:rsidP="00C25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776">
      <w:rPr>
        <w:rStyle w:val="PageNumber"/>
        <w:noProof/>
      </w:rPr>
      <w:t>1</w:t>
    </w:r>
    <w:r>
      <w:rPr>
        <w:rStyle w:val="PageNumber"/>
      </w:rPr>
      <w:fldChar w:fldCharType="end"/>
    </w:r>
  </w:p>
  <w:p w14:paraId="7C398FE5" w14:textId="77777777" w:rsidR="00FC0A74" w:rsidRDefault="00FC0A74" w:rsidP="00FC0A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CAE36" w14:textId="77777777" w:rsidR="00196DB5" w:rsidRDefault="00196DB5" w:rsidP="00CF02CB">
      <w:r>
        <w:separator/>
      </w:r>
    </w:p>
  </w:footnote>
  <w:footnote w:type="continuationSeparator" w:id="0">
    <w:p w14:paraId="3E7C6CC4" w14:textId="77777777" w:rsidR="00196DB5" w:rsidRDefault="00196DB5" w:rsidP="00CF02CB">
      <w:r>
        <w:continuationSeparator/>
      </w:r>
    </w:p>
  </w:footnote>
  <w:footnote w:id="1">
    <w:p w14:paraId="0130A17F" w14:textId="7C569ECD" w:rsidR="00196DB5" w:rsidRPr="00456BDA" w:rsidRDefault="00196DB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sidRPr="00456BDA">
        <w:rPr>
          <w:rFonts w:ascii="Times New Roman" w:hAnsi="Times New Roman" w:cs="Times New Roman"/>
        </w:rPr>
        <w:t>http://www.iraq-lg-law.org/en/node/557</w:t>
      </w:r>
    </w:p>
  </w:footnote>
  <w:footnote w:id="2">
    <w:p w14:paraId="61896EE8" w14:textId="6DC90AF1" w:rsidR="00196DB5" w:rsidRDefault="00196DB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D0148"/>
    <w:multiLevelType w:val="hybridMultilevel"/>
    <w:tmpl w:val="B3CAE498"/>
    <w:lvl w:ilvl="0" w:tplc="0B56397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6C"/>
    <w:rsid w:val="00013D73"/>
    <w:rsid w:val="00021E7E"/>
    <w:rsid w:val="000331ED"/>
    <w:rsid w:val="00042DEF"/>
    <w:rsid w:val="00046D21"/>
    <w:rsid w:val="00054B92"/>
    <w:rsid w:val="00065C0A"/>
    <w:rsid w:val="00076C22"/>
    <w:rsid w:val="0009021A"/>
    <w:rsid w:val="0009126C"/>
    <w:rsid w:val="00095DC6"/>
    <w:rsid w:val="000A1CDA"/>
    <w:rsid w:val="000B05FE"/>
    <w:rsid w:val="000B3838"/>
    <w:rsid w:val="000B420A"/>
    <w:rsid w:val="000E3018"/>
    <w:rsid w:val="000E46F5"/>
    <w:rsid w:val="000E6860"/>
    <w:rsid w:val="000E77C5"/>
    <w:rsid w:val="000F2AF8"/>
    <w:rsid w:val="000F7BAE"/>
    <w:rsid w:val="00103318"/>
    <w:rsid w:val="00106B8C"/>
    <w:rsid w:val="00113177"/>
    <w:rsid w:val="00115FA9"/>
    <w:rsid w:val="00116861"/>
    <w:rsid w:val="00141CDF"/>
    <w:rsid w:val="00172F6B"/>
    <w:rsid w:val="001736C0"/>
    <w:rsid w:val="0018751F"/>
    <w:rsid w:val="00194A60"/>
    <w:rsid w:val="00196DB5"/>
    <w:rsid w:val="001A4CC1"/>
    <w:rsid w:val="001B2FA6"/>
    <w:rsid w:val="001B7B9E"/>
    <w:rsid w:val="001C0E0D"/>
    <w:rsid w:val="001C5B92"/>
    <w:rsid w:val="001C647A"/>
    <w:rsid w:val="001E4760"/>
    <w:rsid w:val="001F1F69"/>
    <w:rsid w:val="001F6AC2"/>
    <w:rsid w:val="00203D14"/>
    <w:rsid w:val="00212577"/>
    <w:rsid w:val="00221A10"/>
    <w:rsid w:val="00231861"/>
    <w:rsid w:val="00233E09"/>
    <w:rsid w:val="002602F5"/>
    <w:rsid w:val="00272431"/>
    <w:rsid w:val="00275CC2"/>
    <w:rsid w:val="00297238"/>
    <w:rsid w:val="002A2A90"/>
    <w:rsid w:val="002C255B"/>
    <w:rsid w:val="002D2815"/>
    <w:rsid w:val="002E5629"/>
    <w:rsid w:val="002F6F27"/>
    <w:rsid w:val="00324A6A"/>
    <w:rsid w:val="00326BF1"/>
    <w:rsid w:val="003567E9"/>
    <w:rsid w:val="00361B44"/>
    <w:rsid w:val="00362223"/>
    <w:rsid w:val="0039094D"/>
    <w:rsid w:val="00392CAB"/>
    <w:rsid w:val="003C0576"/>
    <w:rsid w:val="003C2DE7"/>
    <w:rsid w:val="003E68DF"/>
    <w:rsid w:val="00405958"/>
    <w:rsid w:val="00420D66"/>
    <w:rsid w:val="0043262A"/>
    <w:rsid w:val="00451C9B"/>
    <w:rsid w:val="0045425B"/>
    <w:rsid w:val="004548F3"/>
    <w:rsid w:val="00456BDA"/>
    <w:rsid w:val="004576FA"/>
    <w:rsid w:val="00457ECB"/>
    <w:rsid w:val="00461727"/>
    <w:rsid w:val="00470465"/>
    <w:rsid w:val="004718D0"/>
    <w:rsid w:val="0047362A"/>
    <w:rsid w:val="00487EAA"/>
    <w:rsid w:val="004A0E9F"/>
    <w:rsid w:val="004A0FF1"/>
    <w:rsid w:val="004A182B"/>
    <w:rsid w:val="004A2379"/>
    <w:rsid w:val="004A647F"/>
    <w:rsid w:val="004A7BBB"/>
    <w:rsid w:val="004C1D3F"/>
    <w:rsid w:val="004D2718"/>
    <w:rsid w:val="004E00AC"/>
    <w:rsid w:val="004E6E42"/>
    <w:rsid w:val="00502FF3"/>
    <w:rsid w:val="0051655C"/>
    <w:rsid w:val="005344CC"/>
    <w:rsid w:val="005619D1"/>
    <w:rsid w:val="0056583A"/>
    <w:rsid w:val="00565929"/>
    <w:rsid w:val="00566531"/>
    <w:rsid w:val="005679D7"/>
    <w:rsid w:val="00567FB8"/>
    <w:rsid w:val="005741EC"/>
    <w:rsid w:val="00581DC7"/>
    <w:rsid w:val="00585177"/>
    <w:rsid w:val="00586E94"/>
    <w:rsid w:val="00591978"/>
    <w:rsid w:val="00595190"/>
    <w:rsid w:val="005A46C2"/>
    <w:rsid w:val="005B0D7E"/>
    <w:rsid w:val="005C0762"/>
    <w:rsid w:val="005C293D"/>
    <w:rsid w:val="005C6E23"/>
    <w:rsid w:val="005F010F"/>
    <w:rsid w:val="005F4713"/>
    <w:rsid w:val="005F4BFB"/>
    <w:rsid w:val="005F51B8"/>
    <w:rsid w:val="005F7E8C"/>
    <w:rsid w:val="00614078"/>
    <w:rsid w:val="00627426"/>
    <w:rsid w:val="006275D3"/>
    <w:rsid w:val="006402D2"/>
    <w:rsid w:val="00643F5C"/>
    <w:rsid w:val="006451AA"/>
    <w:rsid w:val="00653B22"/>
    <w:rsid w:val="00667DE5"/>
    <w:rsid w:val="00675886"/>
    <w:rsid w:val="00675D15"/>
    <w:rsid w:val="0067624E"/>
    <w:rsid w:val="00681DAB"/>
    <w:rsid w:val="0068650C"/>
    <w:rsid w:val="00694D65"/>
    <w:rsid w:val="0069656F"/>
    <w:rsid w:val="006A629E"/>
    <w:rsid w:val="006A6751"/>
    <w:rsid w:val="006C73E1"/>
    <w:rsid w:val="006D5AE5"/>
    <w:rsid w:val="00706044"/>
    <w:rsid w:val="00713E4C"/>
    <w:rsid w:val="00716B65"/>
    <w:rsid w:val="00722BD7"/>
    <w:rsid w:val="00753671"/>
    <w:rsid w:val="00756976"/>
    <w:rsid w:val="00757D7A"/>
    <w:rsid w:val="00774503"/>
    <w:rsid w:val="007774D9"/>
    <w:rsid w:val="007868CE"/>
    <w:rsid w:val="00791CD5"/>
    <w:rsid w:val="007A28EA"/>
    <w:rsid w:val="007A4EEA"/>
    <w:rsid w:val="007C50AD"/>
    <w:rsid w:val="007C65A6"/>
    <w:rsid w:val="007F4610"/>
    <w:rsid w:val="007F7B29"/>
    <w:rsid w:val="0080445C"/>
    <w:rsid w:val="00805254"/>
    <w:rsid w:val="00831EFA"/>
    <w:rsid w:val="00836583"/>
    <w:rsid w:val="00836D0C"/>
    <w:rsid w:val="008403DA"/>
    <w:rsid w:val="0084256C"/>
    <w:rsid w:val="00843A04"/>
    <w:rsid w:val="008566C4"/>
    <w:rsid w:val="00857CCF"/>
    <w:rsid w:val="00860ACE"/>
    <w:rsid w:val="00867477"/>
    <w:rsid w:val="00873EB5"/>
    <w:rsid w:val="00880729"/>
    <w:rsid w:val="0088784A"/>
    <w:rsid w:val="008A6E41"/>
    <w:rsid w:val="008C45AB"/>
    <w:rsid w:val="008D58DE"/>
    <w:rsid w:val="008D729A"/>
    <w:rsid w:val="008E4B3E"/>
    <w:rsid w:val="008E554A"/>
    <w:rsid w:val="008F73FD"/>
    <w:rsid w:val="00921005"/>
    <w:rsid w:val="0092443D"/>
    <w:rsid w:val="00924D69"/>
    <w:rsid w:val="00934741"/>
    <w:rsid w:val="009438D6"/>
    <w:rsid w:val="00977F0A"/>
    <w:rsid w:val="0099210E"/>
    <w:rsid w:val="009A324A"/>
    <w:rsid w:val="009A35BE"/>
    <w:rsid w:val="009A5E85"/>
    <w:rsid w:val="009B0246"/>
    <w:rsid w:val="009B248F"/>
    <w:rsid w:val="009B6A07"/>
    <w:rsid w:val="009B6CB6"/>
    <w:rsid w:val="009D339B"/>
    <w:rsid w:val="00A01CA0"/>
    <w:rsid w:val="00A028B0"/>
    <w:rsid w:val="00A17AA8"/>
    <w:rsid w:val="00A34998"/>
    <w:rsid w:val="00A4007E"/>
    <w:rsid w:val="00A44C7F"/>
    <w:rsid w:val="00A574DB"/>
    <w:rsid w:val="00A66BF6"/>
    <w:rsid w:val="00A711C6"/>
    <w:rsid w:val="00A73851"/>
    <w:rsid w:val="00A74FE1"/>
    <w:rsid w:val="00A752BE"/>
    <w:rsid w:val="00A850AC"/>
    <w:rsid w:val="00AA4263"/>
    <w:rsid w:val="00AA564F"/>
    <w:rsid w:val="00AC332C"/>
    <w:rsid w:val="00AC4B43"/>
    <w:rsid w:val="00AD0027"/>
    <w:rsid w:val="00AD6CFD"/>
    <w:rsid w:val="00AF0554"/>
    <w:rsid w:val="00AF607B"/>
    <w:rsid w:val="00B03006"/>
    <w:rsid w:val="00B041C0"/>
    <w:rsid w:val="00B15EA5"/>
    <w:rsid w:val="00B2634E"/>
    <w:rsid w:val="00B269A5"/>
    <w:rsid w:val="00B27911"/>
    <w:rsid w:val="00B57075"/>
    <w:rsid w:val="00B617B9"/>
    <w:rsid w:val="00B66CE2"/>
    <w:rsid w:val="00B7422B"/>
    <w:rsid w:val="00B82EA5"/>
    <w:rsid w:val="00B95FCA"/>
    <w:rsid w:val="00BA44BE"/>
    <w:rsid w:val="00BB4420"/>
    <w:rsid w:val="00BC3038"/>
    <w:rsid w:val="00BC6BAB"/>
    <w:rsid w:val="00BF140C"/>
    <w:rsid w:val="00BF3F03"/>
    <w:rsid w:val="00C00B8B"/>
    <w:rsid w:val="00C0184A"/>
    <w:rsid w:val="00C044C1"/>
    <w:rsid w:val="00C0522E"/>
    <w:rsid w:val="00C0679E"/>
    <w:rsid w:val="00C102AB"/>
    <w:rsid w:val="00C308B7"/>
    <w:rsid w:val="00C37742"/>
    <w:rsid w:val="00C57776"/>
    <w:rsid w:val="00C65C8D"/>
    <w:rsid w:val="00C662EB"/>
    <w:rsid w:val="00C67D21"/>
    <w:rsid w:val="00C7243E"/>
    <w:rsid w:val="00C74D99"/>
    <w:rsid w:val="00C918A6"/>
    <w:rsid w:val="00C97D42"/>
    <w:rsid w:val="00CA1C33"/>
    <w:rsid w:val="00CA2DE1"/>
    <w:rsid w:val="00CD113D"/>
    <w:rsid w:val="00CF02CB"/>
    <w:rsid w:val="00CF1528"/>
    <w:rsid w:val="00D03F6D"/>
    <w:rsid w:val="00D04F90"/>
    <w:rsid w:val="00D14772"/>
    <w:rsid w:val="00D16BC6"/>
    <w:rsid w:val="00D31D67"/>
    <w:rsid w:val="00D4165E"/>
    <w:rsid w:val="00D4605E"/>
    <w:rsid w:val="00D55F50"/>
    <w:rsid w:val="00D65081"/>
    <w:rsid w:val="00D70EA8"/>
    <w:rsid w:val="00D7152F"/>
    <w:rsid w:val="00D71F2F"/>
    <w:rsid w:val="00D72CD9"/>
    <w:rsid w:val="00D847CE"/>
    <w:rsid w:val="00D85661"/>
    <w:rsid w:val="00DA287C"/>
    <w:rsid w:val="00DB49C2"/>
    <w:rsid w:val="00DB5032"/>
    <w:rsid w:val="00DB6EEA"/>
    <w:rsid w:val="00DF413B"/>
    <w:rsid w:val="00E03E38"/>
    <w:rsid w:val="00E045EF"/>
    <w:rsid w:val="00E05FAC"/>
    <w:rsid w:val="00E06FE3"/>
    <w:rsid w:val="00E12432"/>
    <w:rsid w:val="00E127AE"/>
    <w:rsid w:val="00E133EF"/>
    <w:rsid w:val="00E31CCA"/>
    <w:rsid w:val="00E36A84"/>
    <w:rsid w:val="00E378E3"/>
    <w:rsid w:val="00E47745"/>
    <w:rsid w:val="00E81FA3"/>
    <w:rsid w:val="00E93992"/>
    <w:rsid w:val="00EB6B9C"/>
    <w:rsid w:val="00EC310C"/>
    <w:rsid w:val="00EC410F"/>
    <w:rsid w:val="00EC4F34"/>
    <w:rsid w:val="00ED3F2B"/>
    <w:rsid w:val="00EE0714"/>
    <w:rsid w:val="00EF2090"/>
    <w:rsid w:val="00F00582"/>
    <w:rsid w:val="00F144BC"/>
    <w:rsid w:val="00F16BE0"/>
    <w:rsid w:val="00F26A6E"/>
    <w:rsid w:val="00F31171"/>
    <w:rsid w:val="00F323FF"/>
    <w:rsid w:val="00F37494"/>
    <w:rsid w:val="00F53EDB"/>
    <w:rsid w:val="00F56F59"/>
    <w:rsid w:val="00F6122B"/>
    <w:rsid w:val="00F7058B"/>
    <w:rsid w:val="00F82F67"/>
    <w:rsid w:val="00FB586C"/>
    <w:rsid w:val="00FC077D"/>
    <w:rsid w:val="00FC0A74"/>
    <w:rsid w:val="00FD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ED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38"/>
    <w:pPr>
      <w:ind w:left="720"/>
      <w:contextualSpacing/>
    </w:pPr>
  </w:style>
  <w:style w:type="paragraph" w:styleId="FootnoteText">
    <w:name w:val="footnote text"/>
    <w:basedOn w:val="Normal"/>
    <w:link w:val="FootnoteTextChar"/>
    <w:unhideWhenUsed/>
    <w:rsid w:val="00CF02CB"/>
    <w:rPr>
      <w:rFonts w:eastAsiaTheme="minorHAnsi"/>
    </w:rPr>
  </w:style>
  <w:style w:type="character" w:customStyle="1" w:styleId="FootnoteTextChar">
    <w:name w:val="Footnote Text Char"/>
    <w:basedOn w:val="DefaultParagraphFont"/>
    <w:link w:val="FootnoteText"/>
    <w:rsid w:val="00CF02CB"/>
    <w:rPr>
      <w:rFonts w:eastAsiaTheme="minorHAnsi"/>
    </w:rPr>
  </w:style>
  <w:style w:type="character" w:styleId="FootnoteReference">
    <w:name w:val="footnote reference"/>
    <w:basedOn w:val="DefaultParagraphFont"/>
    <w:unhideWhenUsed/>
    <w:rsid w:val="00CF02CB"/>
    <w:rPr>
      <w:vertAlign w:val="superscript"/>
    </w:rPr>
  </w:style>
  <w:style w:type="paragraph" w:styleId="Footer">
    <w:name w:val="footer"/>
    <w:basedOn w:val="Normal"/>
    <w:link w:val="FooterChar"/>
    <w:uiPriority w:val="99"/>
    <w:unhideWhenUsed/>
    <w:rsid w:val="00FC0A74"/>
    <w:pPr>
      <w:tabs>
        <w:tab w:val="center" w:pos="4320"/>
        <w:tab w:val="right" w:pos="8640"/>
      </w:tabs>
    </w:pPr>
  </w:style>
  <w:style w:type="character" w:customStyle="1" w:styleId="FooterChar">
    <w:name w:val="Footer Char"/>
    <w:basedOn w:val="DefaultParagraphFont"/>
    <w:link w:val="Footer"/>
    <w:uiPriority w:val="99"/>
    <w:rsid w:val="00FC0A74"/>
  </w:style>
  <w:style w:type="character" w:styleId="PageNumber">
    <w:name w:val="page number"/>
    <w:basedOn w:val="DefaultParagraphFont"/>
    <w:uiPriority w:val="99"/>
    <w:semiHidden/>
    <w:unhideWhenUsed/>
    <w:rsid w:val="00FC0A74"/>
  </w:style>
  <w:style w:type="paragraph" w:styleId="Bibliography">
    <w:name w:val="Bibliography"/>
    <w:basedOn w:val="Normal"/>
    <w:next w:val="Normal"/>
    <w:uiPriority w:val="37"/>
    <w:unhideWhenUsed/>
    <w:rsid w:val="001C647A"/>
    <w:pPr>
      <w:ind w:left="720" w:hanging="720"/>
    </w:pPr>
  </w:style>
  <w:style w:type="character" w:customStyle="1" w:styleId="apple-converted-space">
    <w:name w:val="apple-converted-space"/>
    <w:basedOn w:val="DefaultParagraphFont"/>
    <w:rsid w:val="00272431"/>
  </w:style>
  <w:style w:type="character" w:styleId="Hyperlink">
    <w:name w:val="Hyperlink"/>
    <w:basedOn w:val="DefaultParagraphFont"/>
    <w:uiPriority w:val="99"/>
    <w:semiHidden/>
    <w:unhideWhenUsed/>
    <w:rsid w:val="002724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38"/>
    <w:pPr>
      <w:ind w:left="720"/>
      <w:contextualSpacing/>
    </w:pPr>
  </w:style>
  <w:style w:type="paragraph" w:styleId="FootnoteText">
    <w:name w:val="footnote text"/>
    <w:basedOn w:val="Normal"/>
    <w:link w:val="FootnoteTextChar"/>
    <w:unhideWhenUsed/>
    <w:rsid w:val="00CF02CB"/>
    <w:rPr>
      <w:rFonts w:eastAsiaTheme="minorHAnsi"/>
    </w:rPr>
  </w:style>
  <w:style w:type="character" w:customStyle="1" w:styleId="FootnoteTextChar">
    <w:name w:val="Footnote Text Char"/>
    <w:basedOn w:val="DefaultParagraphFont"/>
    <w:link w:val="FootnoteText"/>
    <w:rsid w:val="00CF02CB"/>
    <w:rPr>
      <w:rFonts w:eastAsiaTheme="minorHAnsi"/>
    </w:rPr>
  </w:style>
  <w:style w:type="character" w:styleId="FootnoteReference">
    <w:name w:val="footnote reference"/>
    <w:basedOn w:val="DefaultParagraphFont"/>
    <w:unhideWhenUsed/>
    <w:rsid w:val="00CF02CB"/>
    <w:rPr>
      <w:vertAlign w:val="superscript"/>
    </w:rPr>
  </w:style>
  <w:style w:type="paragraph" w:styleId="Footer">
    <w:name w:val="footer"/>
    <w:basedOn w:val="Normal"/>
    <w:link w:val="FooterChar"/>
    <w:uiPriority w:val="99"/>
    <w:unhideWhenUsed/>
    <w:rsid w:val="00FC0A74"/>
    <w:pPr>
      <w:tabs>
        <w:tab w:val="center" w:pos="4320"/>
        <w:tab w:val="right" w:pos="8640"/>
      </w:tabs>
    </w:pPr>
  </w:style>
  <w:style w:type="character" w:customStyle="1" w:styleId="FooterChar">
    <w:name w:val="Footer Char"/>
    <w:basedOn w:val="DefaultParagraphFont"/>
    <w:link w:val="Footer"/>
    <w:uiPriority w:val="99"/>
    <w:rsid w:val="00FC0A74"/>
  </w:style>
  <w:style w:type="character" w:styleId="PageNumber">
    <w:name w:val="page number"/>
    <w:basedOn w:val="DefaultParagraphFont"/>
    <w:uiPriority w:val="99"/>
    <w:semiHidden/>
    <w:unhideWhenUsed/>
    <w:rsid w:val="00FC0A74"/>
  </w:style>
  <w:style w:type="paragraph" w:styleId="Bibliography">
    <w:name w:val="Bibliography"/>
    <w:basedOn w:val="Normal"/>
    <w:next w:val="Normal"/>
    <w:uiPriority w:val="37"/>
    <w:unhideWhenUsed/>
    <w:rsid w:val="001C647A"/>
    <w:pPr>
      <w:ind w:left="720" w:hanging="720"/>
    </w:pPr>
  </w:style>
  <w:style w:type="character" w:customStyle="1" w:styleId="apple-converted-space">
    <w:name w:val="apple-converted-space"/>
    <w:basedOn w:val="DefaultParagraphFont"/>
    <w:rsid w:val="00272431"/>
  </w:style>
  <w:style w:type="character" w:styleId="Hyperlink">
    <w:name w:val="Hyperlink"/>
    <w:basedOn w:val="DefaultParagraphFont"/>
    <w:uiPriority w:val="99"/>
    <w:semiHidden/>
    <w:unhideWhenUsed/>
    <w:rsid w:val="00272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1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mar.dewachi@aub.edu.lb" TargetMode="External"/><Relationship Id="rId9" Type="http://schemas.openxmlformats.org/officeDocument/2006/relationships/hyperlink" Target="http://fhs.aub.edu.lb/"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3775</Words>
  <Characters>21519</Characters>
  <Application>Microsoft Macintosh Word</Application>
  <DocSecurity>0</DocSecurity>
  <Lines>179</Lines>
  <Paragraphs>50</Paragraphs>
  <ScaleCrop>false</ScaleCrop>
  <Company>AUB</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Dewachi</dc:creator>
  <cp:keywords/>
  <dc:description/>
  <cp:lastModifiedBy>Elie Haddad</cp:lastModifiedBy>
  <cp:revision>5</cp:revision>
  <dcterms:created xsi:type="dcterms:W3CDTF">2017-06-02T06:44:00Z</dcterms:created>
  <dcterms:modified xsi:type="dcterms:W3CDTF">2017-06-02T09:02:00Z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id="7KS2fav0"/&gt;&lt;style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